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autoSpaceDE w:val="0"/>
        <w:autoSpaceDN w:val="0"/>
        <w:adjustRightInd w:val="0"/>
        <w:snapToGrid w:val="0"/>
        <w:spacing w:line="240" w:lineRule="auto"/>
        <w:rPr>
          <w:b/>
          <w:bCs/>
          <w:sz w:val="22"/>
        </w:rPr>
      </w:pPr>
      <w:r>
        <w:rPr>
          <w:rFonts w:ascii="Arial" w:hAnsi="Arial" w:cs="Arial"/>
          <w:b/>
          <w:bCs/>
          <w:sz w:val="22"/>
        </w:rPr>
        <w:t xml:space="preserve">3GPP TSG RAN WG1 </w:t>
      </w:r>
      <w:r>
        <w:rPr>
          <w:rFonts w:hint="eastAsia" w:ascii="Arial" w:hAnsi="Arial" w:cs="Arial"/>
          <w:b/>
          <w:bCs/>
          <w:sz w:val="22"/>
        </w:rPr>
        <w:t>Meeting #9</w:t>
      </w:r>
      <w:r>
        <w:rPr>
          <w:rFonts w:hint="eastAsia" w:ascii="Arial" w:hAnsi="Arial" w:cs="Arial"/>
          <w:b/>
          <w:bCs/>
          <w:sz w:val="22"/>
          <w:lang w:val="en-US" w:eastAsia="zh-CN"/>
        </w:rPr>
        <w:t>1</w:t>
      </w:r>
      <w:r>
        <w:rPr>
          <w:rFonts w:ascii="Arial" w:hAnsi="Arial" w:cs="Arial"/>
          <w:b/>
          <w:bCs/>
          <w:sz w:val="22"/>
        </w:rPr>
        <w:t xml:space="preserve">                         </w:t>
      </w:r>
      <w:r>
        <w:rPr>
          <w:rFonts w:hint="eastAsia" w:ascii="Arial" w:hAnsi="Arial" w:cs="Arial"/>
          <w:b/>
          <w:bCs/>
          <w:sz w:val="22"/>
        </w:rPr>
        <w:t xml:space="preserve">                                             </w:t>
      </w:r>
      <w:r>
        <w:rPr>
          <w:rFonts w:ascii="Arial" w:hAnsi="Arial" w:cs="Arial"/>
          <w:b/>
          <w:bCs/>
          <w:sz w:val="22"/>
        </w:rPr>
        <w:t>R1-17</w:t>
      </w:r>
      <w:r>
        <w:rPr>
          <w:rFonts w:hint="eastAsia" w:ascii="Arial" w:hAnsi="Arial" w:cs="Arial"/>
          <w:b/>
          <w:bCs/>
          <w:sz w:val="22"/>
        </w:rPr>
        <w:t>1</w:t>
      </w:r>
      <w:r>
        <w:rPr>
          <w:rFonts w:hint="eastAsia" w:ascii="Arial" w:hAnsi="Arial" w:cs="Arial"/>
          <w:b/>
          <w:bCs/>
          <w:sz w:val="22"/>
          <w:lang w:val="en-US" w:eastAsia="zh-CN"/>
        </w:rPr>
        <w:t>9532</w:t>
      </w:r>
    </w:p>
    <w:p>
      <w:pPr>
        <w:pStyle w:val="15"/>
        <w:tabs>
          <w:tab w:val="clear" w:pos="4536"/>
        </w:tabs>
        <w:spacing w:after="240"/>
        <w:rPr>
          <w:rFonts w:eastAsia="宋体"/>
          <w:color w:val="000000"/>
          <w:sz w:val="22"/>
          <w:szCs w:val="22"/>
          <w:lang w:eastAsia="zh-CN"/>
        </w:rPr>
      </w:pPr>
      <w:r>
        <w:rPr>
          <w:rFonts w:eastAsia="宋体"/>
          <w:color w:val="000000"/>
          <w:sz w:val="22"/>
          <w:szCs w:val="22"/>
          <w:lang w:eastAsia="zh-CN"/>
        </w:rPr>
        <w:t>Reno, USA, November 27th – December 1st, 2017</w:t>
      </w:r>
    </w:p>
    <w:p>
      <w:pPr>
        <w:pStyle w:val="15"/>
        <w:tabs>
          <w:tab w:val="left" w:pos="1805"/>
          <w:tab w:val="clear" w:pos="4536"/>
        </w:tabs>
        <w:snapToGrid w:val="0"/>
        <w:ind w:left="1800" w:hanging="1800"/>
        <w:outlineLvl w:val="0"/>
        <w:rPr>
          <w:rFonts w:eastAsia="宋体" w:cs="Arial"/>
          <w:bCs/>
          <w:sz w:val="22"/>
          <w:szCs w:val="22"/>
          <w:lang w:eastAsia="zh-CN"/>
        </w:rPr>
      </w:pPr>
      <w:r>
        <w:rPr>
          <w:rFonts w:eastAsia="宋体" w:cs="Arial"/>
          <w:bCs/>
          <w:sz w:val="22"/>
          <w:szCs w:val="22"/>
          <w:lang w:eastAsia="zh-CN"/>
        </w:rPr>
        <w:t xml:space="preserve">Source: </w:t>
      </w:r>
      <w:r>
        <w:rPr>
          <w:rFonts w:eastAsia="宋体" w:cs="Arial"/>
          <w:bCs/>
          <w:sz w:val="22"/>
          <w:szCs w:val="22"/>
          <w:lang w:eastAsia="zh-CN"/>
        </w:rPr>
        <w:tab/>
      </w:r>
      <w:r>
        <w:rPr>
          <w:rFonts w:eastAsia="宋体" w:cs="Arial"/>
          <w:bCs/>
          <w:sz w:val="22"/>
          <w:szCs w:val="22"/>
          <w:lang w:eastAsia="zh-CN"/>
        </w:rPr>
        <w:t>ZTE</w:t>
      </w:r>
      <w:r>
        <w:rPr>
          <w:rFonts w:hint="eastAsia" w:eastAsia="宋体" w:cs="Arial"/>
          <w:bCs/>
          <w:sz w:val="22"/>
          <w:szCs w:val="22"/>
          <w:lang w:eastAsia="zh-CN"/>
        </w:rPr>
        <w:t>, Sanechips</w:t>
      </w:r>
    </w:p>
    <w:p>
      <w:pPr>
        <w:pStyle w:val="15"/>
        <w:tabs>
          <w:tab w:val="left" w:pos="1800"/>
        </w:tabs>
        <w:snapToGrid w:val="0"/>
        <w:ind w:left="1833" w:hanging="1833" w:hangingChars="833"/>
        <w:rPr>
          <w:rFonts w:eastAsia="宋体" w:cs="Arial"/>
          <w:bCs/>
          <w:sz w:val="22"/>
          <w:szCs w:val="22"/>
          <w:lang w:eastAsia="zh-CN"/>
        </w:rPr>
      </w:pPr>
      <w:r>
        <w:rPr>
          <w:rFonts w:eastAsia="宋体" w:cs="Arial"/>
          <w:bCs/>
          <w:sz w:val="22"/>
          <w:szCs w:val="22"/>
          <w:lang w:eastAsia="zh-CN"/>
        </w:rPr>
        <w:t>Title:</w:t>
      </w:r>
      <w:r>
        <w:rPr>
          <w:rFonts w:eastAsia="宋体" w:cs="Arial"/>
          <w:bCs/>
          <w:sz w:val="22"/>
          <w:szCs w:val="22"/>
          <w:lang w:eastAsia="zh-CN"/>
        </w:rPr>
        <w:tab/>
      </w:r>
      <w:r>
        <w:rPr>
          <w:rFonts w:hint="eastAsia" w:eastAsia="宋体" w:cs="Arial"/>
          <w:bCs/>
          <w:sz w:val="22"/>
          <w:szCs w:val="22"/>
          <w:lang w:eastAsia="zh-CN"/>
        </w:rPr>
        <w:t>Remaining details on CSI reporting</w:t>
      </w:r>
    </w:p>
    <w:p>
      <w:pPr>
        <w:pStyle w:val="15"/>
        <w:tabs>
          <w:tab w:val="left" w:pos="1800"/>
        </w:tabs>
        <w:snapToGrid w:val="0"/>
        <w:rPr>
          <w:rFonts w:eastAsia="宋体" w:cs="Arial"/>
          <w:bCs/>
          <w:sz w:val="22"/>
          <w:szCs w:val="22"/>
          <w:lang w:eastAsia="zh-CN"/>
        </w:rPr>
      </w:pPr>
      <w:r>
        <w:rPr>
          <w:rFonts w:eastAsia="宋体" w:cs="Arial"/>
          <w:bCs/>
          <w:sz w:val="22"/>
          <w:szCs w:val="22"/>
          <w:lang w:eastAsia="zh-CN"/>
        </w:rPr>
        <w:t>Agenda Item:</w:t>
      </w:r>
      <w:bookmarkStart w:id="0" w:name="Source"/>
      <w:bookmarkEnd w:id="0"/>
      <w:r>
        <w:rPr>
          <w:rFonts w:eastAsia="宋体" w:cs="Arial"/>
          <w:bCs/>
          <w:sz w:val="22"/>
          <w:szCs w:val="22"/>
          <w:lang w:eastAsia="zh-CN"/>
        </w:rPr>
        <w:tab/>
      </w:r>
      <w:r>
        <w:rPr>
          <w:rFonts w:hint="eastAsia" w:eastAsia="宋体" w:cs="Arial"/>
          <w:bCs/>
          <w:sz w:val="22"/>
          <w:szCs w:val="22"/>
          <w:lang w:eastAsia="zh-CN"/>
        </w:rPr>
        <w:t>7.2.2.2</w:t>
      </w:r>
    </w:p>
    <w:p>
      <w:pPr>
        <w:pStyle w:val="15"/>
        <w:tabs>
          <w:tab w:val="left" w:pos="1800"/>
        </w:tabs>
        <w:snapToGrid w:val="0"/>
        <w:rPr>
          <w:rFonts w:eastAsia="宋体" w:cs="Arial"/>
          <w:bCs/>
          <w:sz w:val="22"/>
          <w:szCs w:val="22"/>
          <w:lang w:eastAsia="zh-CN"/>
        </w:rPr>
      </w:pPr>
      <w:r>
        <w:rPr>
          <w:rFonts w:eastAsia="宋体" w:cs="Arial"/>
          <w:bCs/>
          <w:sz w:val="22"/>
          <w:szCs w:val="22"/>
          <w:lang w:eastAsia="zh-CN"/>
        </w:rPr>
        <w:t>Document for:</w:t>
      </w:r>
      <w:r>
        <w:rPr>
          <w:rFonts w:eastAsia="宋体" w:cs="Arial"/>
          <w:bCs/>
          <w:sz w:val="22"/>
          <w:szCs w:val="22"/>
          <w:lang w:eastAsia="zh-CN"/>
        </w:rPr>
        <w:tab/>
      </w:r>
      <w:bookmarkStart w:id="1" w:name="DocumentFor"/>
      <w:bookmarkEnd w:id="1"/>
      <w:r>
        <w:rPr>
          <w:rFonts w:eastAsia="宋体" w:cs="Arial"/>
          <w:bCs/>
          <w:sz w:val="22"/>
          <w:szCs w:val="22"/>
          <w:lang w:eastAsia="zh-CN"/>
        </w:rPr>
        <w:t>Discussion and Decision</w:t>
      </w:r>
    </w:p>
    <w:p>
      <w:pPr>
        <w:pBdr>
          <w:bottom w:val="single" w:color="auto" w:sz="4" w:space="1"/>
        </w:pBdr>
        <w:tabs>
          <w:tab w:val="left" w:pos="2552"/>
        </w:tabs>
        <w:snapToGrid w:val="0"/>
        <w:spacing w:line="240" w:lineRule="auto"/>
      </w:pPr>
    </w:p>
    <w:p>
      <w:pPr>
        <w:numPr>
          <w:ilvl w:val="0"/>
          <w:numId w:val="7"/>
        </w:numPr>
        <w:snapToGrid w:val="0"/>
        <w:spacing w:before="120" w:line="240" w:lineRule="auto"/>
        <w:ind w:left="357" w:hanging="357"/>
        <w:rPr>
          <w:b/>
          <w:sz w:val="24"/>
        </w:rPr>
      </w:pPr>
      <w:r>
        <w:rPr>
          <w:b/>
          <w:sz w:val="24"/>
        </w:rPr>
        <w:t>Introduction</w:t>
      </w:r>
    </w:p>
    <w:p>
      <w:pPr>
        <w:snapToGrid w:val="0"/>
        <w:spacing w:before="120" w:after="120" w:line="240" w:lineRule="auto"/>
        <w:rPr>
          <w:rFonts w:hAnsi="宋体"/>
          <w:szCs w:val="20"/>
        </w:rPr>
      </w:pPr>
      <w:r>
        <w:rPr>
          <w:rFonts w:hint="eastAsia" w:hAnsi="宋体"/>
          <w:szCs w:val="20"/>
          <w:lang w:val="en-US" w:eastAsia="zh-CN"/>
        </w:rPr>
        <w:t>In RAN1#90bis and the post-meeting email discussion, most of the remaining issues in CSI reporting has been addressed [1]</w:t>
      </w:r>
      <w:r>
        <w:rPr>
          <w:rFonts w:hint="eastAsia" w:hAnsi="宋体"/>
          <w:szCs w:val="20"/>
        </w:rPr>
        <w:t>.</w:t>
      </w:r>
      <w:r>
        <w:rPr>
          <w:rFonts w:hint="eastAsia" w:hAnsi="宋体"/>
          <w:szCs w:val="20"/>
          <w:lang w:val="en-US" w:eastAsia="zh-CN"/>
        </w:rPr>
        <w:t xml:space="preserve"> The open issues to be discussed in CSI reporting agenda item include definition of CSI reference resource and the CSI reporting timing issue considering simultaneous calculation of multiple aperiodic CSI reports. </w:t>
      </w:r>
      <w:r>
        <w:rPr>
          <w:rFonts w:hint="eastAsia" w:hAnsi="宋体"/>
          <w:szCs w:val="20"/>
        </w:rPr>
        <w:t xml:space="preserve">In this contribution, we give our views on </w:t>
      </w:r>
      <w:r>
        <w:rPr>
          <w:rFonts w:hint="eastAsia" w:hAnsi="宋体"/>
          <w:szCs w:val="20"/>
          <w:lang w:val="en-US" w:eastAsia="zh-CN"/>
        </w:rPr>
        <w:t>these</w:t>
      </w:r>
      <w:r>
        <w:rPr>
          <w:rFonts w:hint="eastAsia" w:hAnsi="宋体"/>
          <w:szCs w:val="20"/>
        </w:rPr>
        <w:t xml:space="preserve"> issue</w:t>
      </w:r>
      <w:r>
        <w:rPr>
          <w:rFonts w:hint="eastAsia" w:hAnsi="宋体"/>
          <w:szCs w:val="20"/>
          <w:lang w:val="en-US" w:eastAsia="zh-CN"/>
        </w:rPr>
        <w:t>s</w:t>
      </w:r>
      <w:r>
        <w:rPr>
          <w:rFonts w:hint="eastAsia" w:hAnsi="宋体"/>
          <w:szCs w:val="20"/>
        </w:rPr>
        <w:t>. Moreover, we also illustrate our views on higher-rank Type II reporting, e.g., rank 3 and rank 4.</w:t>
      </w:r>
    </w:p>
    <w:p>
      <w:pPr>
        <w:numPr>
          <w:ilvl w:val="0"/>
          <w:numId w:val="7"/>
        </w:numPr>
        <w:snapToGrid w:val="0"/>
        <w:spacing w:before="120" w:line="240" w:lineRule="auto"/>
        <w:ind w:left="357" w:hanging="357"/>
        <w:rPr>
          <w:b/>
          <w:color w:val="auto"/>
          <w:sz w:val="24"/>
          <w:szCs w:val="24"/>
        </w:rPr>
      </w:pPr>
      <w:r>
        <w:rPr>
          <w:rFonts w:hint="eastAsia"/>
          <w:b/>
          <w:color w:val="auto"/>
          <w:sz w:val="24"/>
          <w:szCs w:val="24"/>
          <w:lang w:val="en-US" w:eastAsia="zh-CN"/>
        </w:rPr>
        <w:t>CSI report process relaxation</w:t>
      </w:r>
      <w:r>
        <w:rPr>
          <w:rFonts w:hint="eastAsia"/>
          <w:b/>
          <w:color w:val="auto"/>
          <w:sz w:val="24"/>
          <w:szCs w:val="24"/>
        </w:rPr>
        <w:t xml:space="preserve">  </w:t>
      </w:r>
    </w:p>
    <w:p>
      <w:pPr>
        <w:snapToGrid w:val="0"/>
        <w:spacing w:before="120" w:line="240" w:lineRule="auto"/>
        <w:rPr>
          <w:rFonts w:hint="eastAsia"/>
          <w:i w:val="0"/>
          <w:iCs/>
          <w:lang w:val="en-US" w:eastAsia="zh-CN"/>
        </w:rPr>
      </w:pPr>
      <w:r>
        <w:rPr>
          <w:rFonts w:hint="eastAsia"/>
          <w:i w:val="0"/>
          <w:iCs/>
          <w:lang w:val="en-US" w:eastAsia="zh-CN"/>
        </w:rPr>
        <w:t xml:space="preserve">It has been defined in NR that CSI report timing is the time gap Y between the slot triggering CSI and the slot when the triggered CSI is transmitted. In the current CSI framework, more than one aperiodic CSI reporting settings can be configured, which means </w:t>
      </w:r>
      <w:r>
        <w:rPr>
          <w:rFonts w:ascii="Times New Roman" w:hAnsi="Times New Roman"/>
          <w:sz w:val="20"/>
          <w:szCs w:val="20"/>
        </w:rPr>
        <w:t>various</w:t>
      </w:r>
      <w:r>
        <w:rPr>
          <w:rFonts w:hint="eastAsia" w:ascii="Times New Roman" w:hAnsi="Times New Roman"/>
          <w:sz w:val="20"/>
          <w:szCs w:val="20"/>
        </w:rPr>
        <w:t xml:space="preserve"> CSI triggers would </w:t>
      </w:r>
      <w:r>
        <w:rPr>
          <w:rFonts w:ascii="Times New Roman" w:hAnsi="Times New Roman"/>
          <w:sz w:val="20"/>
          <w:szCs w:val="20"/>
        </w:rPr>
        <w:t>happen</w:t>
      </w:r>
      <w:r>
        <w:rPr>
          <w:rFonts w:hint="eastAsia" w:ascii="Times New Roman" w:hAnsi="Times New Roman"/>
          <w:sz w:val="20"/>
          <w:szCs w:val="20"/>
        </w:rPr>
        <w:t xml:space="preserve"> to acquire different CSI types.</w:t>
      </w:r>
      <w:r>
        <w:rPr>
          <w:rFonts w:hint="eastAsia"/>
          <w:sz w:val="20"/>
          <w:szCs w:val="20"/>
          <w:lang w:val="en-US" w:eastAsia="zh-CN"/>
        </w:rPr>
        <w:t xml:space="preserve"> </w:t>
      </w:r>
      <w:r>
        <w:rPr>
          <w:rFonts w:hint="eastAsia" w:ascii="Times New Roman" w:hAnsi="Times New Roman"/>
          <w:sz w:val="20"/>
          <w:szCs w:val="20"/>
        </w:rPr>
        <w:t>For example, in hybrid CSI, two CSI triggers would happen for long-term and short-term CSI separately. Another use case is to support dynamic transmission scheme transition, two separate CSI triggers exist for CL CSI and semi-OL CSI.</w:t>
      </w:r>
      <w:r>
        <w:rPr>
          <w:rFonts w:hint="eastAsia"/>
          <w:i w:val="0"/>
          <w:iCs/>
          <w:lang w:val="en-US" w:eastAsia="zh-CN"/>
        </w:rPr>
        <w:t xml:space="preserve"> In these use cases, </w:t>
      </w:r>
      <w:r>
        <w:rPr>
          <w:rFonts w:hint="eastAsia" w:ascii="Times New Roman" w:hAnsi="Times New Roman"/>
          <w:sz w:val="20"/>
          <w:szCs w:val="20"/>
        </w:rPr>
        <w:t xml:space="preserve">UE may have various numbers of </w:t>
      </w:r>
      <w:r>
        <w:rPr>
          <w:rFonts w:hint="eastAsia"/>
          <w:sz w:val="20"/>
          <w:szCs w:val="20"/>
          <w:lang w:val="en-US" w:eastAsia="zh-CN"/>
        </w:rPr>
        <w:t xml:space="preserve">simultaneous </w:t>
      </w:r>
      <w:r>
        <w:rPr>
          <w:rFonts w:hint="eastAsia" w:ascii="Times New Roman" w:hAnsi="Times New Roman"/>
          <w:sz w:val="20"/>
          <w:szCs w:val="20"/>
        </w:rPr>
        <w:t>CSI calculations to process, and this number can change dynamically.</w:t>
      </w:r>
      <w:r>
        <w:rPr>
          <w:rFonts w:hint="eastAsia"/>
          <w:i w:val="0"/>
          <w:iCs/>
          <w:lang w:val="en-US" w:eastAsia="zh-CN"/>
        </w:rPr>
        <w:t xml:space="preserve"> This would bring large computation burden to UE.</w:t>
      </w:r>
    </w:p>
    <w:p>
      <w:pPr>
        <w:snapToGrid w:val="0"/>
        <w:spacing w:before="120" w:line="240" w:lineRule="auto"/>
        <w:jc w:val="both"/>
        <w:rPr>
          <w:rFonts w:hint="eastAsia"/>
          <w:i w:val="0"/>
          <w:iCs/>
          <w:lang w:val="en-US" w:eastAsia="zh-CN"/>
        </w:rPr>
      </w:pPr>
      <w:r>
        <w:rPr>
          <w:rFonts w:hint="eastAsia"/>
          <w:i w:val="0"/>
          <w:iCs/>
          <w:lang w:val="en-US" w:eastAsia="zh-CN"/>
        </w:rPr>
        <w:t xml:space="preserve">As different UE may have different capability to process CSI, the number of simultaneous calculated CSI reports should be a UE capability. The first issue here is to define the number of simultaneous calculated CSI reports in specification. Since the most critical issue here is UE complexity for aperiodic CSI reporting, we can focus on the number of simultaneous calculations for aperiodic CSI. </w:t>
      </w:r>
    </w:p>
    <w:p>
      <w:pPr>
        <w:snapToGrid w:val="0"/>
        <w:spacing w:before="120" w:line="240" w:lineRule="auto"/>
        <w:jc w:val="center"/>
      </w:pPr>
      <w:r>
        <w:object>
          <v:shape id="_x0000_i1025" o:spt="75" type="#_x0000_t75" style="height:108.1pt;width:239.05pt;" o:ole="t" filled="f" o:preferrelative="t" stroked="f" coordsize="21600,21600">
            <v:path/>
            <v:fill on="f" focussize="0,0"/>
            <v:stroke on="f"/>
            <v:imagedata r:id="rId5" o:title=""/>
            <o:lock v:ext="edit" aspectratio="t"/>
            <w10:wrap type="none"/>
            <w10:anchorlock/>
          </v:shape>
          <o:OLEObject Type="Embed" ProgID="Visio.Drawing.11" ShapeID="_x0000_i1025" DrawAspect="Content" ObjectID="_1468075725" r:id="rId4">
            <o:LockedField>false</o:LockedField>
          </o:OLEObject>
        </w:object>
      </w:r>
    </w:p>
    <w:p>
      <w:pPr>
        <w:snapToGrid w:val="0"/>
        <w:spacing w:before="120" w:line="240" w:lineRule="auto"/>
        <w:jc w:val="center"/>
        <w:rPr>
          <w:rFonts w:hint="eastAsia"/>
          <w:bCs/>
          <w:sz w:val="20"/>
          <w:szCs w:val="20"/>
        </w:rPr>
      </w:pPr>
      <w:r>
        <w:rPr>
          <w:rFonts w:hint="eastAsia"/>
          <w:sz w:val="20"/>
          <w:szCs w:val="20"/>
          <w:lang w:val="en-US" w:eastAsia="zh-CN"/>
        </w:rPr>
        <w:t xml:space="preserve">Fig. 1 </w:t>
      </w:r>
      <w:r>
        <w:rPr>
          <w:rFonts w:hint="eastAsia"/>
          <w:bCs/>
          <w:sz w:val="20"/>
          <w:szCs w:val="20"/>
        </w:rPr>
        <w:t>UE processor for multiple</w:t>
      </w:r>
      <w:r>
        <w:rPr>
          <w:rFonts w:hint="eastAsia"/>
          <w:bCs/>
          <w:sz w:val="20"/>
          <w:szCs w:val="20"/>
          <w:lang w:val="en-US" w:eastAsia="zh-CN"/>
        </w:rPr>
        <w:t xml:space="preserve"> </w:t>
      </w:r>
      <w:r>
        <w:rPr>
          <w:rFonts w:hint="eastAsia"/>
          <w:bCs/>
          <w:sz w:val="20"/>
          <w:szCs w:val="20"/>
        </w:rPr>
        <w:t xml:space="preserve"> </w:t>
      </w:r>
      <w:r>
        <w:rPr>
          <w:rFonts w:hint="eastAsia"/>
          <w:bCs/>
          <w:sz w:val="20"/>
          <w:szCs w:val="20"/>
          <w:lang w:val="en-US" w:eastAsia="zh-CN"/>
        </w:rPr>
        <w:t>A-</w:t>
      </w:r>
      <w:r>
        <w:rPr>
          <w:rFonts w:hint="eastAsia"/>
          <w:bCs/>
          <w:sz w:val="20"/>
          <w:szCs w:val="20"/>
        </w:rPr>
        <w:t>CSI reports</w:t>
      </w:r>
    </w:p>
    <w:p>
      <w:pPr>
        <w:snapToGrid w:val="0"/>
        <w:spacing w:before="120" w:line="240" w:lineRule="auto"/>
        <w:jc w:val="both"/>
        <w:rPr>
          <w:rFonts w:hint="eastAsia"/>
          <w:bCs/>
          <w:sz w:val="20"/>
          <w:szCs w:val="20"/>
          <w:lang w:val="en-US" w:eastAsia="zh-CN"/>
        </w:rPr>
      </w:pPr>
      <w:r>
        <w:rPr>
          <w:rFonts w:hint="eastAsia"/>
          <w:bCs/>
          <w:sz w:val="20"/>
          <w:szCs w:val="20"/>
          <w:lang w:val="en-US" w:eastAsia="zh-CN"/>
        </w:rPr>
        <w:t>Fig. 1 depicts an example of UE processor for multiple A-CSI reports. It can be seen that the trigger of an A-CSI report means an input to the processor. Hence the number of simultaneous calculations can be denoted as n_cal, which is the number of CSI reports that have been triggered but haven</w:t>
      </w:r>
      <w:r>
        <w:rPr>
          <w:rFonts w:hint="default"/>
          <w:bCs/>
          <w:sz w:val="20"/>
          <w:szCs w:val="20"/>
          <w:lang w:val="en-US" w:eastAsia="zh-CN"/>
        </w:rPr>
        <w:t>’</w:t>
      </w:r>
      <w:r>
        <w:rPr>
          <w:rFonts w:hint="eastAsia"/>
          <w:bCs/>
          <w:sz w:val="20"/>
          <w:szCs w:val="20"/>
          <w:lang w:val="en-US" w:eastAsia="zh-CN"/>
        </w:rPr>
        <w:t xml:space="preserve">t been transmitted. The maximum number of n_cal at a given time instant should be UE capability, where the minimum time instant for CSI reporting and triggering is one slot. </w:t>
      </w:r>
    </w:p>
    <w:p>
      <w:pPr>
        <w:snapToGrid w:val="0"/>
        <w:spacing w:before="120" w:line="240" w:lineRule="auto"/>
        <w:jc w:val="both"/>
        <w:rPr>
          <w:rFonts w:hint="eastAsia"/>
          <w:bCs/>
          <w:sz w:val="20"/>
          <w:szCs w:val="20"/>
          <w:lang w:val="en-US" w:eastAsia="zh-CN"/>
        </w:rPr>
      </w:pPr>
      <w:r>
        <w:rPr>
          <w:rFonts w:hint="eastAsia"/>
          <w:bCs/>
          <w:sz w:val="20"/>
          <w:szCs w:val="20"/>
          <w:lang w:val="en-US" w:eastAsia="zh-CN"/>
        </w:rPr>
        <w:t xml:space="preserve">Fig. 2 gives an example of how n_cal changes for one UE. In the slot that n_cal is smaller than its maximum number, </w:t>
      </w:r>
    </w:p>
    <w:p>
      <w:pPr>
        <w:snapToGrid w:val="0"/>
        <w:spacing w:before="120" w:line="240" w:lineRule="auto"/>
        <w:jc w:val="both"/>
        <w:rPr>
          <w:rFonts w:hint="eastAsia"/>
          <w:bCs/>
          <w:sz w:val="20"/>
          <w:szCs w:val="20"/>
          <w:lang w:val="en-US" w:eastAsia="zh-CN"/>
        </w:rPr>
      </w:pPr>
      <w:r>
        <w:rPr>
          <w:rFonts w:hint="eastAsia"/>
          <w:bCs/>
          <w:sz w:val="20"/>
          <w:szCs w:val="20"/>
          <w:lang w:val="en-US" w:eastAsia="zh-CN"/>
        </w:rPr>
        <w:t>-</w:t>
      </w:r>
      <w:r>
        <w:rPr>
          <w:rFonts w:hint="eastAsia"/>
          <w:bCs/>
          <w:sz w:val="20"/>
          <w:szCs w:val="20"/>
          <w:lang w:val="en-US" w:eastAsia="zh-CN"/>
        </w:rPr>
        <w:tab/>
      </w:r>
      <w:r>
        <w:rPr>
          <w:rFonts w:hint="eastAsia"/>
          <w:bCs/>
          <w:sz w:val="20"/>
          <w:szCs w:val="20"/>
          <w:lang w:val="en-US" w:eastAsia="zh-CN"/>
        </w:rPr>
        <w:t>n_cal = n_cal + 1 if one CSI triggering happens in this slot</w:t>
      </w:r>
    </w:p>
    <w:p>
      <w:pPr>
        <w:snapToGrid w:val="0"/>
        <w:spacing w:before="120" w:line="240" w:lineRule="auto"/>
        <w:jc w:val="both"/>
        <w:rPr>
          <w:rFonts w:hint="eastAsia"/>
          <w:bCs/>
          <w:sz w:val="20"/>
          <w:szCs w:val="20"/>
          <w:lang w:val="en-US" w:eastAsia="zh-CN"/>
        </w:rPr>
      </w:pPr>
      <w:r>
        <w:rPr>
          <w:rFonts w:hint="eastAsia"/>
          <w:bCs/>
          <w:sz w:val="20"/>
          <w:szCs w:val="20"/>
          <w:lang w:val="en-US" w:eastAsia="zh-CN"/>
        </w:rPr>
        <w:t>-</w:t>
      </w:r>
      <w:r>
        <w:rPr>
          <w:rFonts w:hint="eastAsia"/>
          <w:bCs/>
          <w:sz w:val="20"/>
          <w:szCs w:val="20"/>
          <w:lang w:val="en-US" w:eastAsia="zh-CN"/>
        </w:rPr>
        <w:tab/>
      </w:r>
      <w:r>
        <w:rPr>
          <w:rFonts w:hint="eastAsia"/>
          <w:bCs/>
          <w:sz w:val="20"/>
          <w:szCs w:val="20"/>
          <w:lang w:val="en-US" w:eastAsia="zh-CN"/>
        </w:rPr>
        <w:t>n_cal = n_cal - 1 if one CSI report is transmitted in this slot</w:t>
      </w:r>
    </w:p>
    <w:p>
      <w:pPr>
        <w:snapToGrid w:val="0"/>
        <w:spacing w:before="120" w:line="240" w:lineRule="auto"/>
        <w:jc w:val="center"/>
        <w:rPr>
          <w:rFonts w:hint="eastAsia"/>
          <w:bCs/>
          <w:sz w:val="20"/>
          <w:szCs w:val="20"/>
          <w:lang w:val="en-US" w:eastAsia="zh-CN"/>
        </w:rPr>
      </w:pPr>
      <w:r>
        <w:rPr>
          <w:rFonts w:hint="eastAsia"/>
          <w:bCs/>
          <w:sz w:val="20"/>
          <w:szCs w:val="20"/>
          <w:lang w:val="en-US" w:eastAsia="zh-CN"/>
        </w:rPr>
        <w:object>
          <v:shape id="_x0000_i1026" o:spt="75" type="#_x0000_t75" style="height:114.15pt;width:341.45pt;" o:ole="t" filled="f" o:preferrelative="t" stroked="f" coordsize="21600,21600">
            <v:path/>
            <v:fill on="f" focussize="0,0"/>
            <v:stroke on="f"/>
            <v:imagedata r:id="rId7" o:title=""/>
            <o:lock v:ext="edit" aspectratio="f"/>
            <w10:wrap type="none"/>
            <w10:anchorlock/>
          </v:shape>
          <o:OLEObject Type="Embed" ProgID="Visio.Drawing.11" ShapeID="_x0000_i1026" DrawAspect="Content" ObjectID="_1468075726" r:id="rId6">
            <o:LockedField>false</o:LockedField>
          </o:OLEObject>
        </w:object>
      </w:r>
    </w:p>
    <w:p>
      <w:pPr>
        <w:snapToGrid w:val="0"/>
        <w:spacing w:before="120" w:line="240" w:lineRule="auto"/>
        <w:jc w:val="center"/>
        <w:rPr>
          <w:rFonts w:hint="eastAsia"/>
          <w:bCs/>
          <w:sz w:val="20"/>
          <w:szCs w:val="20"/>
          <w:lang w:val="en-US" w:eastAsia="zh-CN"/>
        </w:rPr>
      </w:pPr>
      <w:r>
        <w:rPr>
          <w:rFonts w:hint="eastAsia"/>
          <w:bCs/>
          <w:sz w:val="20"/>
          <w:szCs w:val="20"/>
          <w:lang w:val="en-US" w:eastAsia="zh-CN"/>
        </w:rPr>
        <w:t>Fig. 2 An example of n_cal determination for each slot</w:t>
      </w:r>
    </w:p>
    <w:p>
      <w:pPr>
        <w:snapToGrid w:val="0"/>
        <w:spacing w:before="120" w:line="240" w:lineRule="auto"/>
        <w:jc w:val="both"/>
        <w:rPr>
          <w:rFonts w:hint="eastAsia"/>
          <w:bCs/>
          <w:sz w:val="20"/>
          <w:szCs w:val="20"/>
          <w:lang w:val="en-US" w:eastAsia="zh-CN"/>
        </w:rPr>
      </w:pPr>
      <w:r>
        <w:rPr>
          <w:rFonts w:hint="eastAsia"/>
          <w:bCs/>
          <w:sz w:val="20"/>
          <w:szCs w:val="20"/>
          <w:lang w:val="en-US" w:eastAsia="zh-CN"/>
        </w:rPr>
        <w:t>The next issue is the case that n_cal reaches its maximum number. In this case, UE does not have enough resource to calculate extra CSI. Then the extra triggering of A-CSI does not impact n_cal during the time that n_cal reaches its maximum number. Further, UE is not required to calculate the newly-triggered CSI reports which is triggered during the time it fully uses its process capability.</w:t>
      </w:r>
    </w:p>
    <w:p>
      <w:pPr>
        <w:keepNext w:val="0"/>
        <w:keepLines w:val="0"/>
        <w:pageBreakBefore w:val="0"/>
        <w:widowControl/>
        <w:kinsoku/>
        <w:wordWrap/>
        <w:overflowPunct/>
        <w:topLinePunct w:val="0"/>
        <w:autoSpaceDE/>
        <w:autoSpaceDN/>
        <w:bidi w:val="0"/>
        <w:adjustRightInd w:val="0"/>
        <w:snapToGrid w:val="0"/>
        <w:spacing w:before="120" w:line="240" w:lineRule="auto"/>
        <w:ind w:left="0" w:leftChars="0" w:right="0" w:rightChars="0" w:firstLine="0" w:firstLineChars="0"/>
        <w:jc w:val="both"/>
        <w:textAlignment w:val="auto"/>
        <w:outlineLvl w:val="9"/>
        <w:rPr>
          <w:rFonts w:hint="eastAsia"/>
          <w:bCs/>
          <w:i/>
          <w:iCs/>
          <w:sz w:val="20"/>
          <w:szCs w:val="20"/>
          <w:lang w:val="en-US" w:eastAsia="zh-CN"/>
        </w:rPr>
      </w:pPr>
      <w:r>
        <w:rPr>
          <w:rFonts w:hint="eastAsia"/>
          <w:b/>
          <w:bCs w:val="0"/>
          <w:i/>
          <w:iCs/>
          <w:sz w:val="20"/>
          <w:szCs w:val="20"/>
          <w:lang w:val="en-US" w:eastAsia="zh-CN"/>
        </w:rPr>
        <w:t>Proposal 1:</w:t>
      </w:r>
      <w:r>
        <w:rPr>
          <w:rFonts w:hint="eastAsia"/>
          <w:bCs/>
          <w:i/>
          <w:iCs/>
          <w:sz w:val="20"/>
          <w:szCs w:val="20"/>
          <w:lang w:val="en-US" w:eastAsia="zh-CN"/>
        </w:rPr>
        <w:t xml:space="preserve"> Define n_cal as the number of processing CSI reports for a given slot. The initial value of n_cal is 0.</w:t>
      </w:r>
    </w:p>
    <w:p>
      <w:pPr>
        <w:keepNext w:val="0"/>
        <w:keepLines w:val="0"/>
        <w:pageBreakBefore w:val="0"/>
        <w:widowControl/>
        <w:numPr>
          <w:ilvl w:val="0"/>
          <w:numId w:val="8"/>
        </w:numPr>
        <w:kinsoku/>
        <w:wordWrap/>
        <w:overflowPunct/>
        <w:topLinePunct w:val="0"/>
        <w:autoSpaceDE/>
        <w:autoSpaceDN/>
        <w:bidi w:val="0"/>
        <w:adjustRightInd w:val="0"/>
        <w:snapToGrid w:val="0"/>
        <w:spacing w:line="240" w:lineRule="auto"/>
        <w:ind w:left="420" w:leftChars="0" w:right="0" w:rightChars="0" w:hanging="420" w:firstLineChars="0"/>
        <w:jc w:val="both"/>
        <w:textAlignment w:val="auto"/>
        <w:outlineLvl w:val="9"/>
        <w:rPr>
          <w:rFonts w:hint="eastAsia"/>
          <w:bCs/>
          <w:i/>
          <w:iCs/>
          <w:sz w:val="20"/>
          <w:szCs w:val="20"/>
          <w:lang w:val="en-US" w:eastAsia="zh-CN"/>
        </w:rPr>
      </w:pPr>
      <w:r>
        <w:rPr>
          <w:rFonts w:hint="eastAsia"/>
          <w:bCs/>
          <w:i/>
          <w:iCs/>
          <w:sz w:val="20"/>
          <w:szCs w:val="20"/>
          <w:lang w:val="en-US" w:eastAsia="zh-CN"/>
        </w:rPr>
        <w:t>The maximum value of n_cal, denoted as N_max_cal, is a UE capability.</w:t>
      </w:r>
    </w:p>
    <w:p>
      <w:pPr>
        <w:keepNext w:val="0"/>
        <w:keepLines w:val="0"/>
        <w:pageBreakBefore w:val="0"/>
        <w:widowControl/>
        <w:numPr>
          <w:ilvl w:val="0"/>
          <w:numId w:val="8"/>
        </w:numPr>
        <w:kinsoku/>
        <w:wordWrap/>
        <w:overflowPunct/>
        <w:topLinePunct w:val="0"/>
        <w:autoSpaceDE/>
        <w:autoSpaceDN/>
        <w:bidi w:val="0"/>
        <w:adjustRightInd w:val="0"/>
        <w:snapToGrid w:val="0"/>
        <w:spacing w:line="240" w:lineRule="auto"/>
        <w:ind w:left="420" w:leftChars="0" w:right="0" w:rightChars="0" w:hanging="420" w:firstLineChars="0"/>
        <w:jc w:val="both"/>
        <w:textAlignment w:val="auto"/>
        <w:outlineLvl w:val="9"/>
        <w:rPr>
          <w:rFonts w:hint="eastAsia"/>
          <w:bCs/>
          <w:i/>
          <w:iCs/>
          <w:sz w:val="20"/>
          <w:szCs w:val="20"/>
          <w:lang w:val="en-US" w:eastAsia="zh-CN"/>
        </w:rPr>
      </w:pPr>
      <w:r>
        <w:rPr>
          <w:rFonts w:hint="eastAsia"/>
          <w:bCs/>
          <w:i/>
          <w:iCs/>
          <w:sz w:val="20"/>
          <w:szCs w:val="20"/>
          <w:lang w:val="en-US" w:eastAsia="zh-CN"/>
        </w:rPr>
        <w:t xml:space="preserve">If one CSI triggering happens in a certain slot and n_cal &lt; N_max_cal, n_cal = n_cal + 1, and this CSI report is marked as </w:t>
      </w:r>
      <w:r>
        <w:rPr>
          <w:rFonts w:hint="default"/>
          <w:bCs/>
          <w:i/>
          <w:iCs/>
          <w:sz w:val="20"/>
          <w:szCs w:val="20"/>
          <w:lang w:val="en-US" w:eastAsia="zh-CN"/>
        </w:rPr>
        <w:t>‘</w:t>
      </w:r>
      <w:r>
        <w:rPr>
          <w:rFonts w:hint="eastAsia"/>
          <w:bCs/>
          <w:i/>
          <w:iCs/>
          <w:sz w:val="20"/>
          <w:szCs w:val="20"/>
          <w:lang w:val="en-US" w:eastAsia="zh-CN"/>
        </w:rPr>
        <w:t>processing CSI</w:t>
      </w:r>
      <w:r>
        <w:rPr>
          <w:rFonts w:hint="default"/>
          <w:bCs/>
          <w:i/>
          <w:iCs/>
          <w:sz w:val="20"/>
          <w:szCs w:val="20"/>
          <w:lang w:val="en-US" w:eastAsia="zh-CN"/>
        </w:rPr>
        <w:t>’</w:t>
      </w:r>
      <w:r>
        <w:rPr>
          <w:rFonts w:hint="eastAsia"/>
          <w:bCs/>
          <w:i/>
          <w:iCs/>
          <w:sz w:val="20"/>
          <w:szCs w:val="20"/>
          <w:lang w:val="en-US" w:eastAsia="zh-CN"/>
        </w:rPr>
        <w:t>.</w:t>
      </w:r>
    </w:p>
    <w:p>
      <w:pPr>
        <w:keepNext w:val="0"/>
        <w:keepLines w:val="0"/>
        <w:pageBreakBefore w:val="0"/>
        <w:widowControl/>
        <w:numPr>
          <w:ilvl w:val="0"/>
          <w:numId w:val="8"/>
        </w:numPr>
        <w:kinsoku/>
        <w:wordWrap/>
        <w:overflowPunct/>
        <w:topLinePunct w:val="0"/>
        <w:autoSpaceDE/>
        <w:autoSpaceDN/>
        <w:bidi w:val="0"/>
        <w:adjustRightInd w:val="0"/>
        <w:snapToGrid w:val="0"/>
        <w:spacing w:line="240" w:lineRule="auto"/>
        <w:ind w:left="420" w:leftChars="0" w:right="0" w:rightChars="0" w:hanging="420" w:firstLineChars="0"/>
        <w:jc w:val="both"/>
        <w:textAlignment w:val="auto"/>
        <w:outlineLvl w:val="9"/>
        <w:rPr>
          <w:rFonts w:hint="eastAsia"/>
          <w:bCs/>
          <w:i/>
          <w:iCs/>
          <w:sz w:val="20"/>
          <w:szCs w:val="20"/>
          <w:lang w:val="en-US" w:eastAsia="zh-CN"/>
        </w:rPr>
      </w:pPr>
      <w:r>
        <w:rPr>
          <w:rFonts w:hint="eastAsia"/>
          <w:bCs/>
          <w:i/>
          <w:iCs/>
          <w:sz w:val="20"/>
          <w:szCs w:val="20"/>
          <w:lang w:val="en-US" w:eastAsia="zh-CN"/>
        </w:rPr>
        <w:t xml:space="preserve">If one CSI triggering happens in a certain slot and n_cal = N_max_cal, this CSI report is marked as </w:t>
      </w:r>
      <w:r>
        <w:rPr>
          <w:rFonts w:hint="default"/>
          <w:bCs/>
          <w:i/>
          <w:iCs/>
          <w:sz w:val="20"/>
          <w:szCs w:val="20"/>
          <w:lang w:val="en-US" w:eastAsia="zh-CN"/>
        </w:rPr>
        <w:t>‘</w:t>
      </w:r>
      <w:r>
        <w:rPr>
          <w:rFonts w:hint="eastAsia"/>
          <w:bCs/>
          <w:i/>
          <w:iCs/>
          <w:sz w:val="20"/>
          <w:szCs w:val="20"/>
          <w:lang w:val="en-US" w:eastAsia="zh-CN"/>
        </w:rPr>
        <w:t>extra CSI</w:t>
      </w:r>
      <w:r>
        <w:rPr>
          <w:rFonts w:hint="default"/>
          <w:bCs/>
          <w:i/>
          <w:iCs/>
          <w:sz w:val="20"/>
          <w:szCs w:val="20"/>
          <w:lang w:val="en-US" w:eastAsia="zh-CN"/>
        </w:rPr>
        <w:t>’</w:t>
      </w:r>
      <w:r>
        <w:rPr>
          <w:rFonts w:hint="eastAsia"/>
          <w:bCs/>
          <w:i/>
          <w:iCs/>
          <w:sz w:val="20"/>
          <w:szCs w:val="20"/>
          <w:lang w:val="en-US" w:eastAsia="zh-CN"/>
        </w:rPr>
        <w:t xml:space="preserve">. </w:t>
      </w:r>
    </w:p>
    <w:p>
      <w:pPr>
        <w:keepNext w:val="0"/>
        <w:keepLines w:val="0"/>
        <w:pageBreakBefore w:val="0"/>
        <w:widowControl/>
        <w:numPr>
          <w:ilvl w:val="0"/>
          <w:numId w:val="8"/>
        </w:numPr>
        <w:kinsoku/>
        <w:wordWrap/>
        <w:overflowPunct/>
        <w:topLinePunct w:val="0"/>
        <w:autoSpaceDE/>
        <w:autoSpaceDN/>
        <w:bidi w:val="0"/>
        <w:adjustRightInd w:val="0"/>
        <w:snapToGrid w:val="0"/>
        <w:spacing w:line="240" w:lineRule="auto"/>
        <w:ind w:left="420" w:leftChars="0" w:right="0" w:rightChars="0" w:hanging="420" w:firstLineChars="0"/>
        <w:jc w:val="both"/>
        <w:textAlignment w:val="auto"/>
        <w:outlineLvl w:val="9"/>
        <w:rPr>
          <w:rFonts w:hint="eastAsia"/>
          <w:bCs/>
          <w:i/>
          <w:iCs/>
          <w:sz w:val="20"/>
          <w:szCs w:val="20"/>
          <w:lang w:val="en-US" w:eastAsia="zh-CN"/>
        </w:rPr>
      </w:pPr>
      <w:r>
        <w:rPr>
          <w:rFonts w:hint="eastAsia"/>
          <w:bCs/>
          <w:i/>
          <w:iCs/>
          <w:sz w:val="20"/>
          <w:szCs w:val="20"/>
          <w:lang w:val="en-US" w:eastAsia="zh-CN"/>
        </w:rPr>
        <w:t xml:space="preserve">If one </w:t>
      </w:r>
      <w:r>
        <w:rPr>
          <w:rFonts w:hint="default"/>
          <w:bCs/>
          <w:i/>
          <w:iCs/>
          <w:sz w:val="20"/>
          <w:szCs w:val="20"/>
          <w:lang w:val="en-US" w:eastAsia="zh-CN"/>
        </w:rPr>
        <w:t>‘</w:t>
      </w:r>
      <w:r>
        <w:rPr>
          <w:rFonts w:hint="eastAsia"/>
          <w:bCs/>
          <w:i/>
          <w:iCs/>
          <w:sz w:val="20"/>
          <w:szCs w:val="20"/>
          <w:lang w:val="en-US" w:eastAsia="zh-CN"/>
        </w:rPr>
        <w:t>processing CSI</w:t>
      </w:r>
      <w:r>
        <w:rPr>
          <w:rFonts w:hint="default"/>
          <w:bCs/>
          <w:i/>
          <w:iCs/>
          <w:sz w:val="20"/>
          <w:szCs w:val="20"/>
          <w:lang w:val="en-US" w:eastAsia="zh-CN"/>
        </w:rPr>
        <w:t>’</w:t>
      </w:r>
      <w:r>
        <w:rPr>
          <w:rFonts w:hint="eastAsia"/>
          <w:bCs/>
          <w:i/>
          <w:iCs/>
          <w:sz w:val="20"/>
          <w:szCs w:val="20"/>
          <w:lang w:val="en-US" w:eastAsia="zh-CN"/>
        </w:rPr>
        <w:t xml:space="preserve"> is transmitted in a certain slot, n_cal = n_cal - 1. </w:t>
      </w:r>
    </w:p>
    <w:p>
      <w:pPr>
        <w:keepNext w:val="0"/>
        <w:keepLines w:val="0"/>
        <w:pageBreakBefore w:val="0"/>
        <w:widowControl/>
        <w:numPr>
          <w:ilvl w:val="0"/>
          <w:numId w:val="8"/>
        </w:numPr>
        <w:kinsoku/>
        <w:wordWrap/>
        <w:overflowPunct/>
        <w:topLinePunct w:val="0"/>
        <w:autoSpaceDE/>
        <w:autoSpaceDN/>
        <w:bidi w:val="0"/>
        <w:adjustRightInd w:val="0"/>
        <w:snapToGrid w:val="0"/>
        <w:spacing w:after="200" w:line="240" w:lineRule="auto"/>
        <w:ind w:left="420" w:leftChars="0" w:right="0" w:rightChars="0" w:hanging="420" w:firstLineChars="0"/>
        <w:jc w:val="both"/>
        <w:textAlignment w:val="auto"/>
        <w:outlineLvl w:val="9"/>
        <w:rPr>
          <w:rFonts w:hint="eastAsia"/>
          <w:bCs/>
          <w:sz w:val="20"/>
          <w:szCs w:val="20"/>
          <w:lang w:val="en-US" w:eastAsia="zh-CN"/>
        </w:rPr>
      </w:pPr>
      <w:r>
        <w:rPr>
          <w:rFonts w:hint="eastAsia"/>
          <w:bCs/>
          <w:i/>
          <w:iCs/>
          <w:sz w:val="20"/>
          <w:szCs w:val="20"/>
          <w:lang w:val="en-US" w:eastAsia="zh-CN"/>
        </w:rPr>
        <w:t xml:space="preserve">UE is not required to update </w:t>
      </w:r>
      <w:r>
        <w:rPr>
          <w:rFonts w:hint="default"/>
          <w:bCs/>
          <w:i/>
          <w:iCs/>
          <w:sz w:val="20"/>
          <w:szCs w:val="20"/>
          <w:lang w:val="en-US" w:eastAsia="zh-CN"/>
        </w:rPr>
        <w:t>‘</w:t>
      </w:r>
      <w:r>
        <w:rPr>
          <w:rFonts w:hint="eastAsia"/>
          <w:bCs/>
          <w:i/>
          <w:iCs/>
          <w:sz w:val="20"/>
          <w:szCs w:val="20"/>
          <w:lang w:val="en-US" w:eastAsia="zh-CN"/>
        </w:rPr>
        <w:t>extra CSI</w:t>
      </w:r>
      <w:r>
        <w:rPr>
          <w:rFonts w:hint="default"/>
          <w:bCs/>
          <w:i/>
          <w:iCs/>
          <w:sz w:val="20"/>
          <w:szCs w:val="20"/>
          <w:lang w:val="en-US" w:eastAsia="zh-CN"/>
        </w:rPr>
        <w:t>’</w:t>
      </w:r>
      <w:r>
        <w:rPr>
          <w:rFonts w:hint="eastAsia"/>
          <w:bCs/>
          <w:i/>
          <w:iCs/>
          <w:sz w:val="20"/>
          <w:szCs w:val="20"/>
          <w:lang w:val="en-US" w:eastAsia="zh-CN"/>
        </w:rPr>
        <w:t>.</w:t>
      </w:r>
      <w:r>
        <w:rPr>
          <w:rFonts w:hint="eastAsia"/>
          <w:bCs/>
          <w:sz w:val="20"/>
          <w:szCs w:val="20"/>
          <w:lang w:val="en-US" w:eastAsia="zh-CN"/>
        </w:rPr>
        <w:t xml:space="preserve"> </w:t>
      </w:r>
    </w:p>
    <w:p>
      <w:pPr>
        <w:numPr>
          <w:ilvl w:val="0"/>
          <w:numId w:val="7"/>
        </w:numPr>
        <w:adjustRightInd w:val="0"/>
        <w:snapToGrid w:val="0"/>
        <w:spacing w:before="120" w:line="240" w:lineRule="auto"/>
        <w:ind w:left="357" w:hanging="357"/>
        <w:outlineLvl w:val="0"/>
        <w:rPr>
          <w:rFonts w:ascii="Times New Roman" w:hAnsi="Times New Roman"/>
          <w:b/>
          <w:color w:val="auto"/>
          <w:sz w:val="24"/>
          <w:szCs w:val="24"/>
          <w:highlight w:val="none"/>
        </w:rPr>
      </w:pPr>
      <w:r>
        <w:rPr>
          <w:rFonts w:hint="eastAsia" w:ascii="Times New Roman" w:hAnsi="Times New Roman"/>
          <w:b/>
          <w:color w:val="auto"/>
          <w:sz w:val="24"/>
          <w:szCs w:val="24"/>
          <w:highlight w:val="none"/>
        </w:rPr>
        <w:t>CSI reference resource</w:t>
      </w:r>
    </w:p>
    <w:p>
      <w:pPr>
        <w:adjustRightInd w:val="0"/>
        <w:snapToGrid w:val="0"/>
        <w:spacing w:before="120" w:line="240" w:lineRule="auto"/>
        <w:jc w:val="both"/>
        <w:rPr>
          <w:rFonts w:ascii="Times New Roman" w:hAnsi="Times New Roman"/>
          <w:color w:val="auto"/>
          <w:sz w:val="20"/>
          <w:szCs w:val="20"/>
          <w:highlight w:val="none"/>
        </w:rPr>
      </w:pPr>
      <w:r>
        <w:rPr>
          <w:rFonts w:hint="eastAsia" w:ascii="Times New Roman" w:hAnsi="Times New Roman"/>
          <w:color w:val="auto"/>
          <w:sz w:val="20"/>
          <w:szCs w:val="20"/>
          <w:highlight w:val="none"/>
        </w:rPr>
        <w:t>In LTE, CQI is derived based on CSI reference resource and some assumptions on data transmission by UE. UE identifies CSI reference resource based on the timing condition of the associated CSI reporting. Then some parameters used for CSI reporting, e.g., number of symbols in a subframe depending on the reference resource is a special subframe or a normal subframe. On the other hand, UE assumes some other parameters for data transmission, e.g., resources used for PDCCH, number of REs occupied by RS and so on. Moreover, the target BLER of LTE CQI selection is 0.1 for one TB size.</w:t>
      </w:r>
    </w:p>
    <w:p>
      <w:pPr>
        <w:adjustRightInd w:val="0"/>
        <w:snapToGrid w:val="0"/>
        <w:spacing w:before="120" w:line="240" w:lineRule="auto"/>
        <w:jc w:val="both"/>
        <w:rPr>
          <w:rFonts w:ascii="Times New Roman" w:hAnsi="Times New Roman"/>
          <w:color w:val="auto"/>
          <w:sz w:val="20"/>
          <w:szCs w:val="20"/>
          <w:highlight w:val="none"/>
        </w:rPr>
      </w:pPr>
      <w:r>
        <w:rPr>
          <w:rFonts w:hint="eastAsia" w:ascii="Times New Roman" w:hAnsi="Times New Roman"/>
          <w:color w:val="auto"/>
          <w:sz w:val="20"/>
          <w:szCs w:val="20"/>
          <w:highlight w:val="none"/>
        </w:rPr>
        <w:t>In NR, some new design aspects appear. One critical issue is NR needs to support various types of frame structure. NR would support both slot-based and mini-slot based transmission. For slot-based transmission, number of OFDM symbols per slot is 14, whereas number of symbols per mini-slot can be  2, 4 or 7 symbols. Moreover, even for slot-based transmission, number of available DL symbols can be very variable to support flexible TDD slot structure. If the number of symbols in the reference resource is too few, CQI derived from reference resource cannot reflect preferred MCS and TB size for normal number of symbols per slot, and vice versa. That</w:t>
      </w:r>
      <w:r>
        <w:rPr>
          <w:rFonts w:ascii="Times New Roman" w:hAnsi="Times New Roman"/>
          <w:color w:val="auto"/>
          <w:sz w:val="20"/>
          <w:szCs w:val="20"/>
          <w:highlight w:val="none"/>
        </w:rPr>
        <w:t>’</w:t>
      </w:r>
      <w:r>
        <w:rPr>
          <w:rFonts w:hint="eastAsia" w:ascii="Times New Roman" w:hAnsi="Times New Roman"/>
          <w:color w:val="auto"/>
          <w:sz w:val="20"/>
          <w:szCs w:val="20"/>
          <w:highlight w:val="none"/>
        </w:rPr>
        <w:t>s why in LTE, the length of DwPTS should be larger than 7680Ts if the CSI reference resource is a special subframe. One approach to solve this issue in NR is that gNB configures the number of PDSCH symbols per slot to UE for CQI derivation. Then gNB can configure CQI reporting based on its potential requirements for data scheduling.  This makes it decoupled with the number of symbols in CSI reference resource. Moreover, a set of numbers of symbols can be configured to UE in one or more report settings, and DCI is used to trigger one in each aperiodic CQI reporting.</w:t>
      </w:r>
    </w:p>
    <w:p>
      <w:pPr>
        <w:adjustRightInd w:val="0"/>
        <w:snapToGrid w:val="0"/>
        <w:spacing w:before="120" w:line="240" w:lineRule="auto"/>
        <w:jc w:val="both"/>
        <w:rPr>
          <w:rFonts w:ascii="Times New Roman" w:hAnsi="Times New Roman"/>
          <w:color w:val="auto"/>
          <w:sz w:val="20"/>
          <w:szCs w:val="20"/>
          <w:highlight w:val="none"/>
        </w:rPr>
      </w:pPr>
      <w:r>
        <w:rPr>
          <w:rFonts w:hint="eastAsia" w:ascii="Times New Roman" w:hAnsi="Times New Roman"/>
          <w:color w:val="auto"/>
          <w:sz w:val="20"/>
          <w:szCs w:val="20"/>
          <w:highlight w:val="none"/>
        </w:rPr>
        <w:t>Overhead of RS in CSI reference resource also needs to be taken into account for CQI derivation. In LTE, overhead of CRS, CSI-RS and UE-specific RS depends on transmission mode based on some complex rules lacking flexibility. If we adopt similar approach in NR, more complicated results would be drawn as we have UE-specific configuration on CSI-RS, DMRS and PTRS, and transmission scheme can be transparently and dynamically changed. Further, for DMRS, the frequency and time densities are fixed in LTE, but for NR, they are variable in NR. In particular, time density of DMRS can be variable from 1 to 4 considering different UE speed, whereas frequency density can be 3 or 2 depending on the configuration type of DMRS. These densities impact not only the RE overhead, but also the channel estimation performance which affects BLER and CQI derivation. For example, in high-speed scenarios, assuming 1-symbol DMRS or 4-symbol DMRS would lead to very different BLERs, which leads to  different CQI levels. One simple and flexible approach is that gNB configures overall rate matching patterns to UE for CQI derivation. Multiple configurations are possible in one or more report settings, and gNB can trigger one configuration for aperiodic CSI reporting.</w:t>
      </w:r>
    </w:p>
    <w:p>
      <w:pPr>
        <w:adjustRightInd w:val="0"/>
        <w:snapToGrid w:val="0"/>
        <w:spacing w:before="120" w:line="240" w:lineRule="auto"/>
        <w:jc w:val="both"/>
        <w:rPr>
          <w:rFonts w:ascii="Times New Roman" w:hAnsi="Times New Roman"/>
          <w:color w:val="auto"/>
          <w:sz w:val="20"/>
          <w:szCs w:val="20"/>
          <w:highlight w:val="none"/>
        </w:rPr>
      </w:pPr>
      <w:r>
        <w:rPr>
          <w:rFonts w:hint="eastAsia" w:ascii="Times New Roman" w:hAnsi="Times New Roman"/>
          <w:color w:val="auto"/>
          <w:sz w:val="20"/>
          <w:szCs w:val="20"/>
          <w:highlight w:val="none"/>
        </w:rPr>
        <w:t>Based on the above analysis, gNB needs to configure rate matching pattern for RS and number of DL symbols per slot to UE as the assumption for CQI derivation. If these parameters are configured independently, the possible number of combinations would be quite large. It would introduce large UE complexity as UE needs to implement all possible combinations. Then joint configuration is a more reasonable approach considering UE complexity, and only a few limited number of parameter combinations are supported for joint configuration. The follow table can be an example for this joint configuration.</w:t>
      </w:r>
    </w:p>
    <w:p>
      <w:pPr>
        <w:adjustRightInd w:val="0"/>
        <w:snapToGrid w:val="0"/>
        <w:spacing w:before="120" w:line="240" w:lineRule="auto"/>
        <w:jc w:val="center"/>
        <w:rPr>
          <w:rFonts w:ascii="Times New Roman" w:hAnsi="Times New Roman"/>
          <w:color w:val="auto"/>
          <w:sz w:val="20"/>
          <w:szCs w:val="20"/>
          <w:highlight w:val="none"/>
        </w:rPr>
      </w:pPr>
      <w:r>
        <w:rPr>
          <w:rFonts w:hint="eastAsia" w:ascii="Times New Roman" w:hAnsi="Times New Roman"/>
          <w:b/>
          <w:bCs/>
          <w:color w:val="auto"/>
          <w:sz w:val="20"/>
          <w:szCs w:val="20"/>
          <w:highlight w:val="none"/>
        </w:rPr>
        <w:t xml:space="preserve">Table </w:t>
      </w:r>
      <w:r>
        <w:rPr>
          <w:rFonts w:hint="eastAsia" w:ascii="Times New Roman" w:hAnsi="Times New Roman"/>
          <w:b/>
          <w:bCs/>
          <w:color w:val="auto"/>
          <w:sz w:val="20"/>
          <w:szCs w:val="20"/>
          <w:highlight w:val="none"/>
          <w:lang w:val="en-US" w:eastAsia="zh-CN"/>
        </w:rPr>
        <w:t>1</w:t>
      </w:r>
      <w:r>
        <w:rPr>
          <w:rFonts w:hint="eastAsia" w:ascii="Times New Roman" w:hAnsi="Times New Roman"/>
          <w:b/>
          <w:bCs/>
          <w:color w:val="auto"/>
          <w:sz w:val="20"/>
          <w:szCs w:val="20"/>
          <w:highlight w:val="none"/>
        </w:rPr>
        <w:t xml:space="preserve"> Joint configuration of parameters for CQI derivation</w:t>
      </w:r>
    </w:p>
    <w:tbl>
      <w:tblPr>
        <w:tblStyle w:val="22"/>
        <w:tblW w:w="6662" w:type="dxa"/>
        <w:jc w:val="center"/>
        <w:tblInd w:w="11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5"/>
        <w:gridCol w:w="2218"/>
        <w:gridCol w:w="25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75" w:type="dxa"/>
          </w:tcPr>
          <w:p>
            <w:pPr>
              <w:adjustRightInd w:val="0"/>
              <w:snapToGrid w:val="0"/>
              <w:spacing w:before="120" w:line="240" w:lineRule="auto"/>
              <w:jc w:val="both"/>
              <w:rPr>
                <w:rFonts w:ascii="Times New Roman" w:hAnsi="Times New Roman"/>
                <w:color w:val="auto"/>
                <w:sz w:val="20"/>
                <w:szCs w:val="20"/>
                <w:highlight w:val="none"/>
              </w:rPr>
            </w:pPr>
            <w:r>
              <w:rPr>
                <w:rFonts w:hint="eastAsia" w:ascii="Times New Roman" w:hAnsi="Times New Roman"/>
                <w:color w:val="auto"/>
                <w:sz w:val="20"/>
                <w:szCs w:val="20"/>
                <w:highlight w:val="none"/>
              </w:rPr>
              <w:t>Configuration Index</w:t>
            </w:r>
          </w:p>
        </w:tc>
        <w:tc>
          <w:tcPr>
            <w:tcW w:w="2218" w:type="dxa"/>
          </w:tcPr>
          <w:p>
            <w:pPr>
              <w:adjustRightInd w:val="0"/>
              <w:snapToGrid w:val="0"/>
              <w:spacing w:before="120" w:line="240" w:lineRule="auto"/>
              <w:jc w:val="both"/>
              <w:rPr>
                <w:rFonts w:ascii="Times New Roman" w:hAnsi="Times New Roman"/>
                <w:color w:val="auto"/>
                <w:sz w:val="20"/>
                <w:szCs w:val="20"/>
                <w:highlight w:val="none"/>
              </w:rPr>
            </w:pPr>
            <w:r>
              <w:rPr>
                <w:rFonts w:hint="eastAsia" w:ascii="Times New Roman" w:hAnsi="Times New Roman"/>
                <w:color w:val="auto"/>
                <w:sz w:val="20"/>
                <w:szCs w:val="20"/>
                <w:highlight w:val="none"/>
              </w:rPr>
              <w:t>DMRS pattern</w:t>
            </w:r>
          </w:p>
        </w:tc>
        <w:tc>
          <w:tcPr>
            <w:tcW w:w="2569" w:type="dxa"/>
          </w:tcPr>
          <w:p>
            <w:pPr>
              <w:adjustRightInd w:val="0"/>
              <w:snapToGrid w:val="0"/>
              <w:spacing w:before="120" w:line="240" w:lineRule="auto"/>
              <w:jc w:val="both"/>
              <w:rPr>
                <w:rFonts w:ascii="Times New Roman" w:hAnsi="Times New Roman"/>
                <w:color w:val="auto"/>
                <w:sz w:val="20"/>
                <w:szCs w:val="20"/>
                <w:highlight w:val="none"/>
              </w:rPr>
            </w:pPr>
            <w:r>
              <w:rPr>
                <w:rFonts w:hint="eastAsia" w:ascii="Times New Roman" w:hAnsi="Times New Roman"/>
                <w:color w:val="auto"/>
                <w:sz w:val="20"/>
                <w:szCs w:val="20"/>
                <w:highlight w:val="none"/>
              </w:rPr>
              <w:t>Number of DL data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75" w:type="dxa"/>
          </w:tcPr>
          <w:p>
            <w:pPr>
              <w:adjustRightInd w:val="0"/>
              <w:snapToGrid w:val="0"/>
              <w:spacing w:before="120" w:line="240" w:lineRule="auto"/>
              <w:jc w:val="both"/>
              <w:rPr>
                <w:rFonts w:ascii="Times New Roman" w:hAnsi="Times New Roman"/>
                <w:color w:val="auto"/>
                <w:sz w:val="20"/>
                <w:szCs w:val="20"/>
                <w:highlight w:val="none"/>
              </w:rPr>
            </w:pPr>
            <w:r>
              <w:rPr>
                <w:rFonts w:hint="eastAsia" w:ascii="Times New Roman" w:hAnsi="Times New Roman"/>
                <w:color w:val="auto"/>
                <w:sz w:val="20"/>
                <w:szCs w:val="20"/>
                <w:highlight w:val="none"/>
              </w:rPr>
              <w:t>0</w:t>
            </w:r>
          </w:p>
        </w:tc>
        <w:tc>
          <w:tcPr>
            <w:tcW w:w="2218" w:type="dxa"/>
          </w:tcPr>
          <w:p>
            <w:pPr>
              <w:adjustRightInd w:val="0"/>
              <w:snapToGrid w:val="0"/>
              <w:spacing w:before="120" w:line="240" w:lineRule="auto"/>
              <w:jc w:val="both"/>
              <w:rPr>
                <w:rFonts w:ascii="Times New Roman" w:hAnsi="Times New Roman"/>
                <w:color w:val="auto"/>
                <w:sz w:val="20"/>
                <w:szCs w:val="20"/>
                <w:highlight w:val="none"/>
              </w:rPr>
            </w:pPr>
            <w:r>
              <w:rPr>
                <w:rFonts w:hint="eastAsia" w:ascii="Times New Roman" w:hAnsi="Times New Roman"/>
                <w:color w:val="auto"/>
                <w:sz w:val="20"/>
                <w:szCs w:val="20"/>
                <w:highlight w:val="none"/>
              </w:rPr>
              <w:t xml:space="preserve">Configuration Type: 1 </w:t>
            </w:r>
          </w:p>
          <w:p>
            <w:pPr>
              <w:adjustRightInd w:val="0"/>
              <w:snapToGrid w:val="0"/>
              <w:spacing w:before="120" w:line="240" w:lineRule="auto"/>
              <w:jc w:val="both"/>
              <w:rPr>
                <w:rFonts w:ascii="Times New Roman" w:hAnsi="Times New Roman"/>
                <w:color w:val="auto"/>
                <w:sz w:val="20"/>
                <w:szCs w:val="20"/>
                <w:highlight w:val="none"/>
              </w:rPr>
            </w:pPr>
            <w:r>
              <w:rPr>
                <w:rFonts w:hint="eastAsia" w:ascii="Times New Roman" w:hAnsi="Times New Roman"/>
                <w:color w:val="auto"/>
                <w:sz w:val="20"/>
                <w:szCs w:val="20"/>
                <w:highlight w:val="none"/>
              </w:rPr>
              <w:t>Time domain density: 1</w:t>
            </w:r>
          </w:p>
        </w:tc>
        <w:tc>
          <w:tcPr>
            <w:tcW w:w="2569" w:type="dxa"/>
          </w:tcPr>
          <w:p>
            <w:pPr>
              <w:adjustRightInd w:val="0"/>
              <w:snapToGrid w:val="0"/>
              <w:spacing w:before="120" w:line="240" w:lineRule="auto"/>
              <w:jc w:val="both"/>
              <w:rPr>
                <w:rFonts w:ascii="Times New Roman" w:hAnsi="Times New Roman"/>
                <w:color w:val="auto"/>
                <w:sz w:val="20"/>
                <w:szCs w:val="20"/>
                <w:highlight w:val="none"/>
              </w:rPr>
            </w:pPr>
            <w:r>
              <w:rPr>
                <w:rFonts w:hint="eastAsia" w:ascii="Times New Roman" w:hAnsi="Times New Roman"/>
                <w:color w:val="auto"/>
                <w:sz w:val="20"/>
                <w:szCs w:val="20"/>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75" w:type="dxa"/>
          </w:tcPr>
          <w:p>
            <w:pPr>
              <w:adjustRightInd w:val="0"/>
              <w:snapToGrid w:val="0"/>
              <w:spacing w:before="120" w:line="240" w:lineRule="auto"/>
              <w:jc w:val="both"/>
              <w:rPr>
                <w:rFonts w:ascii="Times New Roman" w:hAnsi="Times New Roman"/>
                <w:color w:val="auto"/>
                <w:sz w:val="20"/>
                <w:szCs w:val="20"/>
                <w:highlight w:val="none"/>
              </w:rPr>
            </w:pPr>
            <w:r>
              <w:rPr>
                <w:rFonts w:hint="eastAsia" w:ascii="Times New Roman" w:hAnsi="Times New Roman"/>
                <w:color w:val="auto"/>
                <w:sz w:val="20"/>
                <w:szCs w:val="20"/>
                <w:highlight w:val="none"/>
              </w:rPr>
              <w:t>1</w:t>
            </w:r>
          </w:p>
        </w:tc>
        <w:tc>
          <w:tcPr>
            <w:tcW w:w="2218" w:type="dxa"/>
          </w:tcPr>
          <w:p>
            <w:pPr>
              <w:adjustRightInd w:val="0"/>
              <w:snapToGrid w:val="0"/>
              <w:spacing w:before="120" w:line="240" w:lineRule="auto"/>
              <w:jc w:val="both"/>
              <w:rPr>
                <w:rFonts w:ascii="Times New Roman" w:hAnsi="Times New Roman"/>
                <w:color w:val="auto"/>
                <w:sz w:val="20"/>
                <w:szCs w:val="20"/>
                <w:highlight w:val="none"/>
              </w:rPr>
            </w:pPr>
            <w:r>
              <w:rPr>
                <w:rFonts w:hint="eastAsia" w:ascii="Times New Roman" w:hAnsi="Times New Roman"/>
                <w:color w:val="auto"/>
                <w:sz w:val="20"/>
                <w:szCs w:val="20"/>
                <w:highlight w:val="none"/>
              </w:rPr>
              <w:t>Configuration Type: 1</w:t>
            </w:r>
          </w:p>
          <w:p>
            <w:pPr>
              <w:adjustRightInd w:val="0"/>
              <w:snapToGrid w:val="0"/>
              <w:spacing w:before="120" w:line="240" w:lineRule="auto"/>
              <w:jc w:val="both"/>
              <w:rPr>
                <w:rFonts w:ascii="Times New Roman" w:hAnsi="Times New Roman"/>
                <w:color w:val="auto"/>
                <w:sz w:val="20"/>
                <w:szCs w:val="20"/>
                <w:highlight w:val="none"/>
              </w:rPr>
            </w:pPr>
            <w:r>
              <w:rPr>
                <w:rFonts w:hint="eastAsia" w:ascii="Times New Roman" w:hAnsi="Times New Roman"/>
                <w:color w:val="auto"/>
                <w:sz w:val="20"/>
                <w:szCs w:val="20"/>
                <w:highlight w:val="none"/>
              </w:rPr>
              <w:t>Time domain density: 1</w:t>
            </w:r>
          </w:p>
        </w:tc>
        <w:tc>
          <w:tcPr>
            <w:tcW w:w="2569" w:type="dxa"/>
          </w:tcPr>
          <w:p>
            <w:pPr>
              <w:adjustRightInd w:val="0"/>
              <w:snapToGrid w:val="0"/>
              <w:spacing w:before="120" w:line="240" w:lineRule="auto"/>
              <w:jc w:val="both"/>
              <w:rPr>
                <w:rFonts w:ascii="Times New Roman" w:hAnsi="Times New Roman"/>
                <w:color w:val="auto"/>
                <w:sz w:val="20"/>
                <w:szCs w:val="20"/>
                <w:highlight w:val="none"/>
              </w:rPr>
            </w:pPr>
            <w:r>
              <w:rPr>
                <w:rFonts w:hint="eastAsia" w:ascii="Times New Roman" w:hAnsi="Times New Roman"/>
                <w:color w:val="auto"/>
                <w:sz w:val="20"/>
                <w:szCs w:val="20"/>
                <w:highlight w:val="non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75" w:type="dxa"/>
          </w:tcPr>
          <w:p>
            <w:pPr>
              <w:adjustRightInd w:val="0"/>
              <w:snapToGrid w:val="0"/>
              <w:spacing w:before="120" w:line="240" w:lineRule="auto"/>
              <w:jc w:val="both"/>
              <w:rPr>
                <w:rFonts w:ascii="Times New Roman" w:hAnsi="Times New Roman"/>
                <w:color w:val="auto"/>
                <w:sz w:val="20"/>
                <w:szCs w:val="20"/>
                <w:highlight w:val="none"/>
              </w:rPr>
            </w:pPr>
            <w:r>
              <w:rPr>
                <w:rFonts w:hint="eastAsia" w:ascii="Times New Roman" w:hAnsi="Times New Roman"/>
                <w:color w:val="auto"/>
                <w:sz w:val="20"/>
                <w:szCs w:val="20"/>
                <w:highlight w:val="none"/>
              </w:rPr>
              <w:t>2</w:t>
            </w:r>
          </w:p>
        </w:tc>
        <w:tc>
          <w:tcPr>
            <w:tcW w:w="2218" w:type="dxa"/>
          </w:tcPr>
          <w:p>
            <w:pPr>
              <w:adjustRightInd w:val="0"/>
              <w:snapToGrid w:val="0"/>
              <w:spacing w:before="120" w:line="240" w:lineRule="auto"/>
              <w:jc w:val="both"/>
              <w:rPr>
                <w:rFonts w:ascii="Times New Roman" w:hAnsi="Times New Roman"/>
                <w:color w:val="auto"/>
                <w:sz w:val="20"/>
                <w:szCs w:val="20"/>
                <w:highlight w:val="none"/>
              </w:rPr>
            </w:pPr>
            <w:r>
              <w:rPr>
                <w:rFonts w:hint="eastAsia" w:ascii="Times New Roman" w:hAnsi="Times New Roman"/>
                <w:color w:val="auto"/>
                <w:sz w:val="20"/>
                <w:szCs w:val="20"/>
                <w:highlight w:val="none"/>
              </w:rPr>
              <w:t>Configuration Type: 1</w:t>
            </w:r>
          </w:p>
          <w:p>
            <w:pPr>
              <w:adjustRightInd w:val="0"/>
              <w:snapToGrid w:val="0"/>
              <w:spacing w:before="120" w:line="240" w:lineRule="auto"/>
              <w:jc w:val="both"/>
              <w:rPr>
                <w:rFonts w:ascii="Times New Roman" w:hAnsi="Times New Roman"/>
                <w:color w:val="auto"/>
                <w:sz w:val="20"/>
                <w:szCs w:val="20"/>
                <w:highlight w:val="none"/>
              </w:rPr>
            </w:pPr>
            <w:r>
              <w:rPr>
                <w:rFonts w:hint="eastAsia" w:ascii="Times New Roman" w:hAnsi="Times New Roman"/>
                <w:color w:val="auto"/>
                <w:sz w:val="20"/>
                <w:szCs w:val="20"/>
                <w:highlight w:val="none"/>
              </w:rPr>
              <w:t>Time domain density: 1</w:t>
            </w:r>
          </w:p>
        </w:tc>
        <w:tc>
          <w:tcPr>
            <w:tcW w:w="2569" w:type="dxa"/>
          </w:tcPr>
          <w:p>
            <w:pPr>
              <w:adjustRightInd w:val="0"/>
              <w:snapToGrid w:val="0"/>
              <w:spacing w:before="120" w:line="240" w:lineRule="auto"/>
              <w:jc w:val="both"/>
              <w:rPr>
                <w:rFonts w:ascii="Times New Roman" w:hAnsi="Times New Roman"/>
                <w:color w:val="auto"/>
                <w:sz w:val="20"/>
                <w:szCs w:val="20"/>
                <w:highlight w:val="none"/>
              </w:rPr>
            </w:pPr>
            <w:r>
              <w:rPr>
                <w:rFonts w:hint="eastAsia" w:ascii="Times New Roman" w:hAnsi="Times New Roman"/>
                <w:color w:val="auto"/>
                <w:sz w:val="20"/>
                <w:szCs w:val="20"/>
                <w:highlight w:val="none"/>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75" w:type="dxa"/>
          </w:tcPr>
          <w:p>
            <w:pPr>
              <w:adjustRightInd w:val="0"/>
              <w:snapToGrid w:val="0"/>
              <w:spacing w:before="120" w:line="240" w:lineRule="auto"/>
              <w:jc w:val="both"/>
              <w:rPr>
                <w:rFonts w:ascii="Times New Roman" w:hAnsi="Times New Roman"/>
                <w:color w:val="auto"/>
                <w:sz w:val="20"/>
                <w:szCs w:val="20"/>
                <w:highlight w:val="none"/>
              </w:rPr>
            </w:pPr>
            <w:r>
              <w:rPr>
                <w:rFonts w:hint="eastAsia" w:ascii="Times New Roman" w:hAnsi="Times New Roman"/>
                <w:color w:val="auto"/>
                <w:sz w:val="20"/>
                <w:szCs w:val="20"/>
                <w:highlight w:val="none"/>
              </w:rPr>
              <w:t>3</w:t>
            </w:r>
          </w:p>
        </w:tc>
        <w:tc>
          <w:tcPr>
            <w:tcW w:w="2218" w:type="dxa"/>
          </w:tcPr>
          <w:p>
            <w:pPr>
              <w:adjustRightInd w:val="0"/>
              <w:snapToGrid w:val="0"/>
              <w:spacing w:before="120" w:line="240" w:lineRule="auto"/>
              <w:jc w:val="both"/>
              <w:rPr>
                <w:rFonts w:ascii="Times New Roman" w:hAnsi="Times New Roman"/>
                <w:color w:val="auto"/>
                <w:sz w:val="20"/>
                <w:szCs w:val="20"/>
                <w:highlight w:val="none"/>
              </w:rPr>
            </w:pPr>
            <w:r>
              <w:rPr>
                <w:rFonts w:hint="eastAsia" w:ascii="Times New Roman" w:hAnsi="Times New Roman"/>
                <w:color w:val="auto"/>
                <w:sz w:val="20"/>
                <w:szCs w:val="20"/>
                <w:highlight w:val="none"/>
              </w:rPr>
              <w:t>Configuration Type: 1</w:t>
            </w:r>
          </w:p>
          <w:p>
            <w:pPr>
              <w:adjustRightInd w:val="0"/>
              <w:snapToGrid w:val="0"/>
              <w:spacing w:before="120" w:line="240" w:lineRule="auto"/>
              <w:jc w:val="both"/>
              <w:rPr>
                <w:rFonts w:ascii="Times New Roman" w:hAnsi="Times New Roman"/>
                <w:color w:val="auto"/>
                <w:sz w:val="20"/>
                <w:szCs w:val="20"/>
                <w:highlight w:val="none"/>
              </w:rPr>
            </w:pPr>
            <w:r>
              <w:rPr>
                <w:rFonts w:hint="eastAsia" w:ascii="Times New Roman" w:hAnsi="Times New Roman"/>
                <w:color w:val="auto"/>
                <w:sz w:val="20"/>
                <w:szCs w:val="20"/>
                <w:highlight w:val="none"/>
              </w:rPr>
              <w:t>Time domain density: 2</w:t>
            </w:r>
          </w:p>
        </w:tc>
        <w:tc>
          <w:tcPr>
            <w:tcW w:w="2569" w:type="dxa"/>
          </w:tcPr>
          <w:p>
            <w:pPr>
              <w:adjustRightInd w:val="0"/>
              <w:snapToGrid w:val="0"/>
              <w:spacing w:before="120" w:line="240" w:lineRule="auto"/>
              <w:jc w:val="both"/>
              <w:rPr>
                <w:rFonts w:ascii="Times New Roman" w:hAnsi="Times New Roman"/>
                <w:color w:val="auto"/>
                <w:sz w:val="20"/>
                <w:szCs w:val="20"/>
                <w:highlight w:val="none"/>
              </w:rPr>
            </w:pPr>
            <w:r>
              <w:rPr>
                <w:rFonts w:hint="eastAsia" w:ascii="Times New Roman" w:hAnsi="Times New Roman"/>
                <w:color w:val="auto"/>
                <w:sz w:val="20"/>
                <w:szCs w:val="20"/>
                <w:highlight w:val="none"/>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75" w:type="dxa"/>
          </w:tcPr>
          <w:p>
            <w:pPr>
              <w:adjustRightInd w:val="0"/>
              <w:snapToGrid w:val="0"/>
              <w:spacing w:before="120" w:line="240" w:lineRule="auto"/>
              <w:jc w:val="both"/>
              <w:rPr>
                <w:rFonts w:ascii="Times New Roman" w:hAnsi="Times New Roman"/>
                <w:color w:val="auto"/>
                <w:sz w:val="20"/>
                <w:szCs w:val="20"/>
                <w:highlight w:val="none"/>
              </w:rPr>
            </w:pPr>
            <w:r>
              <w:rPr>
                <w:rFonts w:hint="eastAsia" w:ascii="Times New Roman" w:hAnsi="Times New Roman"/>
                <w:color w:val="auto"/>
                <w:sz w:val="20"/>
                <w:szCs w:val="20"/>
                <w:highlight w:val="none"/>
              </w:rPr>
              <w:t>4</w:t>
            </w:r>
          </w:p>
        </w:tc>
        <w:tc>
          <w:tcPr>
            <w:tcW w:w="2218" w:type="dxa"/>
          </w:tcPr>
          <w:p>
            <w:pPr>
              <w:adjustRightInd w:val="0"/>
              <w:snapToGrid w:val="0"/>
              <w:spacing w:before="120" w:line="240" w:lineRule="auto"/>
              <w:jc w:val="both"/>
              <w:rPr>
                <w:rFonts w:ascii="Times New Roman" w:hAnsi="Times New Roman"/>
                <w:color w:val="auto"/>
                <w:sz w:val="20"/>
                <w:szCs w:val="20"/>
                <w:highlight w:val="none"/>
              </w:rPr>
            </w:pPr>
            <w:r>
              <w:rPr>
                <w:rFonts w:hint="eastAsia" w:ascii="Times New Roman" w:hAnsi="Times New Roman"/>
                <w:color w:val="auto"/>
                <w:sz w:val="20"/>
                <w:szCs w:val="20"/>
                <w:highlight w:val="none"/>
              </w:rPr>
              <w:t>Configuration Type: 1</w:t>
            </w:r>
          </w:p>
          <w:p>
            <w:pPr>
              <w:adjustRightInd w:val="0"/>
              <w:snapToGrid w:val="0"/>
              <w:spacing w:before="120" w:line="240" w:lineRule="auto"/>
              <w:jc w:val="both"/>
              <w:rPr>
                <w:rFonts w:ascii="Times New Roman" w:hAnsi="Times New Roman"/>
                <w:color w:val="auto"/>
                <w:sz w:val="20"/>
                <w:szCs w:val="20"/>
                <w:highlight w:val="none"/>
              </w:rPr>
            </w:pPr>
            <w:r>
              <w:rPr>
                <w:rFonts w:hint="eastAsia" w:ascii="Times New Roman" w:hAnsi="Times New Roman"/>
                <w:color w:val="auto"/>
                <w:sz w:val="20"/>
                <w:szCs w:val="20"/>
                <w:highlight w:val="none"/>
              </w:rPr>
              <w:t>Time domain density: 1</w:t>
            </w:r>
          </w:p>
        </w:tc>
        <w:tc>
          <w:tcPr>
            <w:tcW w:w="2569" w:type="dxa"/>
          </w:tcPr>
          <w:p>
            <w:pPr>
              <w:adjustRightInd w:val="0"/>
              <w:snapToGrid w:val="0"/>
              <w:spacing w:before="120" w:line="240" w:lineRule="auto"/>
              <w:jc w:val="both"/>
              <w:rPr>
                <w:rFonts w:ascii="Times New Roman" w:hAnsi="Times New Roman"/>
                <w:color w:val="auto"/>
                <w:sz w:val="20"/>
                <w:szCs w:val="20"/>
                <w:highlight w:val="none"/>
              </w:rPr>
            </w:pPr>
            <w:r>
              <w:rPr>
                <w:rFonts w:hint="eastAsia" w:ascii="Times New Roman" w:hAnsi="Times New Roman"/>
                <w:color w:val="auto"/>
                <w:sz w:val="20"/>
                <w:szCs w:val="20"/>
                <w:highlight w:val="none"/>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75" w:type="dxa"/>
          </w:tcPr>
          <w:p>
            <w:pPr>
              <w:adjustRightInd w:val="0"/>
              <w:snapToGrid w:val="0"/>
              <w:spacing w:before="120" w:line="240" w:lineRule="auto"/>
              <w:jc w:val="both"/>
              <w:rPr>
                <w:rFonts w:ascii="Times New Roman" w:hAnsi="Times New Roman"/>
                <w:color w:val="auto"/>
                <w:sz w:val="20"/>
                <w:szCs w:val="20"/>
                <w:highlight w:val="none"/>
              </w:rPr>
            </w:pPr>
            <w:r>
              <w:rPr>
                <w:rFonts w:hint="eastAsia" w:ascii="Times New Roman" w:hAnsi="Times New Roman"/>
                <w:color w:val="auto"/>
                <w:sz w:val="20"/>
                <w:szCs w:val="20"/>
                <w:highlight w:val="none"/>
              </w:rPr>
              <w:t>5</w:t>
            </w:r>
          </w:p>
        </w:tc>
        <w:tc>
          <w:tcPr>
            <w:tcW w:w="2218" w:type="dxa"/>
          </w:tcPr>
          <w:p>
            <w:pPr>
              <w:adjustRightInd w:val="0"/>
              <w:snapToGrid w:val="0"/>
              <w:spacing w:before="120" w:line="240" w:lineRule="auto"/>
              <w:jc w:val="both"/>
              <w:rPr>
                <w:rFonts w:ascii="Times New Roman" w:hAnsi="Times New Roman"/>
                <w:color w:val="auto"/>
                <w:sz w:val="20"/>
                <w:szCs w:val="20"/>
                <w:highlight w:val="none"/>
              </w:rPr>
            </w:pPr>
            <w:r>
              <w:rPr>
                <w:rFonts w:hint="eastAsia" w:ascii="Times New Roman" w:hAnsi="Times New Roman"/>
                <w:color w:val="auto"/>
                <w:sz w:val="20"/>
                <w:szCs w:val="20"/>
                <w:highlight w:val="none"/>
              </w:rPr>
              <w:t>Configuration Type: 2</w:t>
            </w:r>
          </w:p>
          <w:p>
            <w:pPr>
              <w:adjustRightInd w:val="0"/>
              <w:snapToGrid w:val="0"/>
              <w:spacing w:before="120" w:line="240" w:lineRule="auto"/>
              <w:jc w:val="both"/>
              <w:rPr>
                <w:rFonts w:ascii="Times New Roman" w:hAnsi="Times New Roman"/>
                <w:color w:val="auto"/>
                <w:sz w:val="20"/>
                <w:szCs w:val="20"/>
                <w:highlight w:val="none"/>
              </w:rPr>
            </w:pPr>
            <w:r>
              <w:rPr>
                <w:rFonts w:hint="eastAsia" w:ascii="Times New Roman" w:hAnsi="Times New Roman"/>
                <w:color w:val="auto"/>
                <w:sz w:val="20"/>
                <w:szCs w:val="20"/>
                <w:highlight w:val="none"/>
              </w:rPr>
              <w:t>Time domain density: 1</w:t>
            </w:r>
          </w:p>
        </w:tc>
        <w:tc>
          <w:tcPr>
            <w:tcW w:w="2569" w:type="dxa"/>
          </w:tcPr>
          <w:p>
            <w:pPr>
              <w:adjustRightInd w:val="0"/>
              <w:snapToGrid w:val="0"/>
              <w:spacing w:before="120" w:line="240" w:lineRule="auto"/>
              <w:jc w:val="both"/>
              <w:rPr>
                <w:rFonts w:ascii="Times New Roman" w:hAnsi="Times New Roman"/>
                <w:color w:val="auto"/>
                <w:sz w:val="20"/>
                <w:szCs w:val="20"/>
                <w:highlight w:val="none"/>
              </w:rPr>
            </w:pPr>
            <w:r>
              <w:rPr>
                <w:rFonts w:hint="eastAsia" w:ascii="Times New Roman" w:hAnsi="Times New Roman"/>
                <w:color w:val="auto"/>
                <w:sz w:val="20"/>
                <w:szCs w:val="20"/>
                <w:highlight w:val="none"/>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75" w:type="dxa"/>
          </w:tcPr>
          <w:p>
            <w:pPr>
              <w:adjustRightInd w:val="0"/>
              <w:snapToGrid w:val="0"/>
              <w:spacing w:before="120" w:line="240" w:lineRule="auto"/>
              <w:jc w:val="both"/>
              <w:rPr>
                <w:rFonts w:ascii="Times New Roman" w:hAnsi="Times New Roman"/>
                <w:color w:val="auto"/>
                <w:sz w:val="20"/>
                <w:szCs w:val="20"/>
                <w:highlight w:val="none"/>
              </w:rPr>
            </w:pPr>
            <w:r>
              <w:rPr>
                <w:rFonts w:hint="eastAsia" w:ascii="Times New Roman" w:hAnsi="Times New Roman"/>
                <w:color w:val="auto"/>
                <w:sz w:val="20"/>
                <w:szCs w:val="20"/>
                <w:highlight w:val="none"/>
              </w:rPr>
              <w:t>6</w:t>
            </w:r>
          </w:p>
        </w:tc>
        <w:tc>
          <w:tcPr>
            <w:tcW w:w="2218" w:type="dxa"/>
          </w:tcPr>
          <w:p>
            <w:pPr>
              <w:adjustRightInd w:val="0"/>
              <w:snapToGrid w:val="0"/>
              <w:spacing w:before="120" w:line="240" w:lineRule="auto"/>
              <w:jc w:val="both"/>
              <w:rPr>
                <w:rFonts w:ascii="Times New Roman" w:hAnsi="Times New Roman"/>
                <w:color w:val="auto"/>
                <w:sz w:val="20"/>
                <w:szCs w:val="20"/>
                <w:highlight w:val="none"/>
              </w:rPr>
            </w:pPr>
            <w:r>
              <w:rPr>
                <w:rFonts w:hint="eastAsia" w:ascii="Times New Roman" w:hAnsi="Times New Roman"/>
                <w:color w:val="auto"/>
                <w:sz w:val="20"/>
                <w:szCs w:val="20"/>
                <w:highlight w:val="none"/>
              </w:rPr>
              <w:t>Configuration Type: 1</w:t>
            </w:r>
          </w:p>
          <w:p>
            <w:pPr>
              <w:adjustRightInd w:val="0"/>
              <w:snapToGrid w:val="0"/>
              <w:spacing w:before="120" w:line="240" w:lineRule="auto"/>
              <w:jc w:val="both"/>
              <w:rPr>
                <w:rFonts w:ascii="Times New Roman" w:hAnsi="Times New Roman"/>
                <w:color w:val="auto"/>
                <w:sz w:val="20"/>
                <w:szCs w:val="20"/>
                <w:highlight w:val="none"/>
              </w:rPr>
            </w:pPr>
            <w:r>
              <w:rPr>
                <w:rFonts w:hint="eastAsia" w:ascii="Times New Roman" w:hAnsi="Times New Roman"/>
                <w:color w:val="auto"/>
                <w:sz w:val="20"/>
                <w:szCs w:val="20"/>
                <w:highlight w:val="none"/>
              </w:rPr>
              <w:t>Time domain density: 2</w:t>
            </w:r>
          </w:p>
        </w:tc>
        <w:tc>
          <w:tcPr>
            <w:tcW w:w="2569" w:type="dxa"/>
          </w:tcPr>
          <w:p>
            <w:pPr>
              <w:adjustRightInd w:val="0"/>
              <w:snapToGrid w:val="0"/>
              <w:spacing w:before="120" w:line="240" w:lineRule="auto"/>
              <w:jc w:val="both"/>
              <w:rPr>
                <w:rFonts w:ascii="Times New Roman" w:hAnsi="Times New Roman"/>
                <w:color w:val="auto"/>
                <w:sz w:val="20"/>
                <w:szCs w:val="20"/>
                <w:highlight w:val="none"/>
              </w:rPr>
            </w:pPr>
            <w:r>
              <w:rPr>
                <w:rFonts w:hint="eastAsia" w:ascii="Times New Roman" w:hAnsi="Times New Roman"/>
                <w:color w:val="auto"/>
                <w:sz w:val="20"/>
                <w:szCs w:val="20"/>
                <w:highlight w:val="none"/>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75" w:type="dxa"/>
          </w:tcPr>
          <w:p>
            <w:pPr>
              <w:adjustRightInd w:val="0"/>
              <w:snapToGrid w:val="0"/>
              <w:spacing w:before="120" w:line="240" w:lineRule="auto"/>
              <w:jc w:val="both"/>
              <w:rPr>
                <w:rFonts w:ascii="Times New Roman" w:hAnsi="Times New Roman"/>
                <w:color w:val="auto"/>
                <w:sz w:val="20"/>
                <w:szCs w:val="20"/>
                <w:highlight w:val="none"/>
              </w:rPr>
            </w:pPr>
            <w:r>
              <w:rPr>
                <w:rFonts w:hint="eastAsia" w:ascii="Times New Roman" w:hAnsi="Times New Roman"/>
                <w:color w:val="auto"/>
                <w:sz w:val="20"/>
                <w:szCs w:val="20"/>
                <w:highlight w:val="none"/>
              </w:rPr>
              <w:t>7</w:t>
            </w:r>
          </w:p>
        </w:tc>
        <w:tc>
          <w:tcPr>
            <w:tcW w:w="2218" w:type="dxa"/>
          </w:tcPr>
          <w:p>
            <w:pPr>
              <w:adjustRightInd w:val="0"/>
              <w:snapToGrid w:val="0"/>
              <w:spacing w:before="120" w:line="240" w:lineRule="auto"/>
              <w:jc w:val="both"/>
              <w:rPr>
                <w:rFonts w:ascii="Times New Roman" w:hAnsi="Times New Roman"/>
                <w:color w:val="auto"/>
                <w:sz w:val="20"/>
                <w:szCs w:val="20"/>
                <w:highlight w:val="none"/>
              </w:rPr>
            </w:pPr>
            <w:r>
              <w:rPr>
                <w:rFonts w:hint="eastAsia" w:ascii="Times New Roman" w:hAnsi="Times New Roman"/>
                <w:color w:val="auto"/>
                <w:sz w:val="20"/>
                <w:szCs w:val="20"/>
                <w:highlight w:val="none"/>
              </w:rPr>
              <w:t>Configuration Type: 1</w:t>
            </w:r>
          </w:p>
          <w:p>
            <w:pPr>
              <w:adjustRightInd w:val="0"/>
              <w:snapToGrid w:val="0"/>
              <w:spacing w:before="120" w:line="240" w:lineRule="auto"/>
              <w:jc w:val="both"/>
              <w:rPr>
                <w:rFonts w:ascii="Times New Roman" w:hAnsi="Times New Roman"/>
                <w:color w:val="auto"/>
                <w:sz w:val="20"/>
                <w:szCs w:val="20"/>
                <w:highlight w:val="none"/>
              </w:rPr>
            </w:pPr>
            <w:r>
              <w:rPr>
                <w:rFonts w:hint="eastAsia" w:ascii="Times New Roman" w:hAnsi="Times New Roman"/>
                <w:color w:val="auto"/>
                <w:sz w:val="20"/>
                <w:szCs w:val="20"/>
                <w:highlight w:val="none"/>
              </w:rPr>
              <w:t>Time domain density: 4</w:t>
            </w:r>
          </w:p>
        </w:tc>
        <w:tc>
          <w:tcPr>
            <w:tcW w:w="2569" w:type="dxa"/>
          </w:tcPr>
          <w:p>
            <w:pPr>
              <w:adjustRightInd w:val="0"/>
              <w:snapToGrid w:val="0"/>
              <w:spacing w:before="120" w:line="240" w:lineRule="auto"/>
              <w:jc w:val="both"/>
              <w:rPr>
                <w:rFonts w:ascii="Times New Roman" w:hAnsi="Times New Roman"/>
                <w:color w:val="auto"/>
                <w:sz w:val="20"/>
                <w:szCs w:val="20"/>
                <w:highlight w:val="none"/>
              </w:rPr>
            </w:pPr>
            <w:r>
              <w:rPr>
                <w:rFonts w:hint="eastAsia" w:ascii="Times New Roman" w:hAnsi="Times New Roman"/>
                <w:color w:val="auto"/>
                <w:sz w:val="20"/>
                <w:szCs w:val="20"/>
                <w:highlight w:val="none"/>
              </w:rPr>
              <w:t>12</w:t>
            </w:r>
          </w:p>
        </w:tc>
      </w:tr>
    </w:tbl>
    <w:p>
      <w:pPr>
        <w:adjustRightInd w:val="0"/>
        <w:snapToGrid w:val="0"/>
        <w:spacing w:before="120" w:after="0" w:line="240" w:lineRule="auto"/>
        <w:jc w:val="both"/>
        <w:rPr>
          <w:rFonts w:ascii="Times New Roman" w:hAnsi="Times New Roman"/>
          <w:i/>
          <w:iCs/>
          <w:color w:val="auto"/>
          <w:sz w:val="20"/>
          <w:szCs w:val="20"/>
          <w:highlight w:val="none"/>
        </w:rPr>
      </w:pPr>
      <w:r>
        <w:rPr>
          <w:rFonts w:hint="eastAsia" w:ascii="Times New Roman" w:hAnsi="Times New Roman"/>
          <w:b/>
          <w:bCs/>
          <w:i/>
          <w:iCs/>
          <w:color w:val="auto"/>
          <w:sz w:val="20"/>
          <w:szCs w:val="20"/>
          <w:highlight w:val="none"/>
        </w:rPr>
        <w:t xml:space="preserve">Proposal </w:t>
      </w:r>
      <w:r>
        <w:rPr>
          <w:rFonts w:hint="eastAsia" w:ascii="Times New Roman" w:hAnsi="Times New Roman"/>
          <w:b/>
          <w:bCs/>
          <w:i/>
          <w:iCs/>
          <w:color w:val="auto"/>
          <w:sz w:val="20"/>
          <w:szCs w:val="20"/>
          <w:highlight w:val="none"/>
          <w:lang w:val="en-US" w:eastAsia="zh-CN"/>
        </w:rPr>
        <w:t>2</w:t>
      </w:r>
      <w:r>
        <w:rPr>
          <w:rFonts w:hint="eastAsia" w:ascii="Times New Roman" w:hAnsi="Times New Roman"/>
          <w:b/>
          <w:bCs/>
          <w:i/>
          <w:iCs/>
          <w:color w:val="auto"/>
          <w:sz w:val="20"/>
          <w:szCs w:val="20"/>
          <w:highlight w:val="none"/>
        </w:rPr>
        <w:t>:</w:t>
      </w:r>
      <w:r>
        <w:rPr>
          <w:rFonts w:hint="eastAsia" w:ascii="Times New Roman" w:hAnsi="Times New Roman"/>
          <w:i/>
          <w:iCs/>
          <w:color w:val="auto"/>
          <w:sz w:val="20"/>
          <w:szCs w:val="20"/>
          <w:highlight w:val="none"/>
        </w:rPr>
        <w:t xml:space="preserve"> </w:t>
      </w:r>
      <w:r>
        <w:rPr>
          <w:rFonts w:ascii="Times New Roman" w:hAnsi="Times New Roman"/>
          <w:i/>
          <w:iCs/>
          <w:color w:val="auto"/>
          <w:sz w:val="20"/>
          <w:szCs w:val="20"/>
          <w:highlight w:val="none"/>
        </w:rPr>
        <w:t>Support gNB</w:t>
      </w:r>
      <w:r>
        <w:rPr>
          <w:rFonts w:hint="eastAsia" w:ascii="Times New Roman" w:hAnsi="Times New Roman"/>
          <w:i/>
          <w:iCs/>
          <w:color w:val="auto"/>
          <w:sz w:val="20"/>
          <w:szCs w:val="20"/>
          <w:highlight w:val="none"/>
        </w:rPr>
        <w:t xml:space="preserve"> configur</w:t>
      </w:r>
      <w:r>
        <w:rPr>
          <w:rFonts w:ascii="Times New Roman" w:hAnsi="Times New Roman"/>
          <w:i/>
          <w:iCs/>
          <w:color w:val="auto"/>
          <w:sz w:val="20"/>
          <w:szCs w:val="20"/>
          <w:highlight w:val="none"/>
        </w:rPr>
        <w:t>ation</w:t>
      </w:r>
      <w:r>
        <w:rPr>
          <w:rFonts w:hint="eastAsia" w:ascii="Times New Roman" w:hAnsi="Times New Roman"/>
          <w:i/>
          <w:iCs/>
          <w:color w:val="auto"/>
          <w:sz w:val="20"/>
          <w:szCs w:val="20"/>
          <w:highlight w:val="none"/>
        </w:rPr>
        <w:t xml:space="preserve"> </w:t>
      </w:r>
      <w:r>
        <w:rPr>
          <w:rFonts w:ascii="Times New Roman" w:hAnsi="Times New Roman"/>
          <w:i/>
          <w:iCs/>
          <w:color w:val="auto"/>
          <w:sz w:val="20"/>
          <w:szCs w:val="20"/>
          <w:highlight w:val="none"/>
        </w:rPr>
        <w:t xml:space="preserve">of </w:t>
      </w:r>
      <w:r>
        <w:rPr>
          <w:rFonts w:hint="eastAsia" w:ascii="Times New Roman" w:hAnsi="Times New Roman"/>
          <w:i/>
          <w:iCs/>
          <w:color w:val="auto"/>
          <w:sz w:val="20"/>
          <w:szCs w:val="20"/>
          <w:highlight w:val="none"/>
        </w:rPr>
        <w:t>at least the following parameters to UE for NR CQI derivation</w:t>
      </w:r>
    </w:p>
    <w:p>
      <w:pPr>
        <w:numPr>
          <w:ilvl w:val="0"/>
          <w:numId w:val="9"/>
        </w:numPr>
        <w:adjustRightInd w:val="0"/>
        <w:snapToGrid w:val="0"/>
        <w:spacing w:after="0" w:line="240" w:lineRule="auto"/>
        <w:ind w:left="840"/>
        <w:jc w:val="both"/>
        <w:rPr>
          <w:rFonts w:ascii="Times New Roman" w:hAnsi="Times New Roman"/>
          <w:i/>
          <w:iCs/>
          <w:color w:val="auto"/>
          <w:sz w:val="20"/>
          <w:szCs w:val="20"/>
          <w:highlight w:val="none"/>
        </w:rPr>
      </w:pPr>
      <w:r>
        <w:rPr>
          <w:rFonts w:hint="eastAsia" w:ascii="Times New Roman" w:hAnsi="Times New Roman"/>
          <w:i/>
          <w:iCs/>
          <w:color w:val="auto"/>
          <w:sz w:val="20"/>
          <w:szCs w:val="20"/>
          <w:highlight w:val="none"/>
        </w:rPr>
        <w:t>RS pattern</w:t>
      </w:r>
    </w:p>
    <w:p>
      <w:pPr>
        <w:numPr>
          <w:ilvl w:val="0"/>
          <w:numId w:val="9"/>
        </w:numPr>
        <w:adjustRightInd w:val="0"/>
        <w:snapToGrid w:val="0"/>
        <w:spacing w:after="0" w:line="240" w:lineRule="auto"/>
        <w:ind w:left="840"/>
        <w:jc w:val="both"/>
        <w:rPr>
          <w:rFonts w:ascii="Times New Roman" w:hAnsi="Times New Roman"/>
          <w:color w:val="auto"/>
          <w:sz w:val="20"/>
          <w:szCs w:val="20"/>
          <w:highlight w:val="none"/>
        </w:rPr>
      </w:pPr>
      <w:r>
        <w:rPr>
          <w:rFonts w:hint="eastAsia" w:ascii="Times New Roman" w:hAnsi="Times New Roman"/>
          <w:i/>
          <w:iCs/>
          <w:color w:val="auto"/>
          <w:sz w:val="20"/>
          <w:szCs w:val="20"/>
          <w:highlight w:val="none"/>
        </w:rPr>
        <w:t>Number of DL symbols per slot</w:t>
      </w:r>
    </w:p>
    <w:p>
      <w:pPr>
        <w:numPr>
          <w:ilvl w:val="0"/>
          <w:numId w:val="9"/>
        </w:numPr>
        <w:adjustRightInd w:val="0"/>
        <w:snapToGrid w:val="0"/>
        <w:spacing w:after="0" w:line="240" w:lineRule="auto"/>
        <w:ind w:left="840"/>
        <w:jc w:val="both"/>
        <w:rPr>
          <w:b/>
          <w:sz w:val="24"/>
          <w:szCs w:val="24"/>
        </w:rPr>
      </w:pPr>
      <w:r>
        <w:rPr>
          <w:rFonts w:hint="eastAsia" w:ascii="Times New Roman" w:hAnsi="Times New Roman"/>
          <w:i/>
          <w:iCs/>
          <w:color w:val="auto"/>
          <w:sz w:val="20"/>
          <w:szCs w:val="20"/>
          <w:highlight w:val="none"/>
        </w:rPr>
        <w:t>Limited number of combinations of the above parameters are supported for joint configuration</w:t>
      </w:r>
    </w:p>
    <w:p>
      <w:pPr>
        <w:numPr>
          <w:ilvl w:val="0"/>
          <w:numId w:val="7"/>
        </w:numPr>
        <w:snapToGrid w:val="0"/>
        <w:spacing w:before="120" w:line="240" w:lineRule="auto"/>
        <w:ind w:left="357" w:hanging="357"/>
        <w:rPr>
          <w:b/>
          <w:sz w:val="24"/>
          <w:szCs w:val="24"/>
        </w:rPr>
      </w:pPr>
      <w:r>
        <w:rPr>
          <w:rFonts w:hint="eastAsia"/>
          <w:b/>
          <w:sz w:val="24"/>
          <w:szCs w:val="24"/>
        </w:rPr>
        <w:t>Type II CSI for higher ranks</w:t>
      </w:r>
    </w:p>
    <w:p>
      <w:pPr>
        <w:snapToGrid w:val="0"/>
        <w:spacing w:before="120" w:line="240" w:lineRule="auto"/>
        <w:rPr>
          <w:rFonts w:hAnsi="宋体"/>
          <w:szCs w:val="20"/>
        </w:rPr>
      </w:pPr>
      <w:r>
        <w:rPr>
          <w:rFonts w:hint="eastAsia" w:hAnsi="宋体"/>
          <w:szCs w:val="20"/>
        </w:rPr>
        <w:t xml:space="preserve">In current NR design, Type II is supported up to 2 layers. Rank-2 Type II codebook brings large gain for MU-MIMO. On the other hand, since 4Tx commercial UE has become popular, and 12 DMRS ports have been supported in NR for MU, extending current rank-2 codebook to rank-4 is needed. </w:t>
      </w:r>
      <w:r>
        <w:rPr>
          <w:rFonts w:hint="eastAsia"/>
          <w:iCs/>
          <w:szCs w:val="20"/>
        </w:rPr>
        <w:t xml:space="preserve">The rationality of supporting higher rank Type II codebook is also verified in [2]. </w:t>
      </w:r>
      <w:r>
        <w:rPr>
          <w:rFonts w:hint="eastAsia" w:hAnsi="宋体"/>
          <w:szCs w:val="20"/>
        </w:rPr>
        <w:t>Even it</w:t>
      </w:r>
      <w:r>
        <w:rPr>
          <w:szCs w:val="20"/>
        </w:rPr>
        <w:t>’s</w:t>
      </w:r>
      <w:r>
        <w:rPr>
          <w:rFonts w:hint="eastAsia" w:hAnsi="宋体"/>
          <w:szCs w:val="20"/>
        </w:rPr>
        <w:t xml:space="preserve"> not possible due to tight Phase I timeline, it should be supported in Phase II. </w:t>
      </w:r>
    </w:p>
    <w:p>
      <w:pPr>
        <w:snapToGrid w:val="0"/>
        <w:spacing w:before="120" w:line="240" w:lineRule="auto"/>
        <w:rPr>
          <w:rFonts w:hAnsi="宋体"/>
          <w:szCs w:val="20"/>
        </w:rPr>
      </w:pPr>
      <w:r>
        <w:rPr>
          <w:rFonts w:hint="eastAsia" w:hAnsi="宋体"/>
          <w:szCs w:val="20"/>
        </w:rPr>
        <w:t xml:space="preserve">For rank-3 and rank-4 Type II CSI, the most significant issue is overhead. Subband overhead for rank-3 or rank-4 is almost triple or four times of rank 1, i.e., 72 bits or 96 bits per subband. The design of Type II rank-3 and rank-4 should achieve large gain with reduced CSI overhead. Based on the above discussion on partial-subband reporting. It can be observed that partial-subband reporting achieve good performance with reduced CSI overhead. </w:t>
      </w:r>
      <w:r>
        <w:rPr>
          <w:rFonts w:hint="eastAsia" w:hAnsi="宋体"/>
          <w:szCs w:val="20"/>
          <w:lang w:val="en-US" w:eastAsia="zh-CN"/>
        </w:rPr>
        <w:t xml:space="preserve">For example, </w:t>
      </w:r>
      <w:r>
        <w:rPr>
          <w:rFonts w:hint="eastAsia"/>
          <w:iCs/>
          <w:szCs w:val="20"/>
          <w:lang w:val="en-US" w:eastAsia="zh-CN"/>
        </w:rPr>
        <w:t>comb-based partial-subband pattern as shown in Fig. 3</w:t>
      </w:r>
      <w:bookmarkStart w:id="2" w:name="_GoBack"/>
      <w:bookmarkEnd w:id="2"/>
      <w:r>
        <w:rPr>
          <w:rFonts w:hint="eastAsia"/>
          <w:iCs/>
          <w:szCs w:val="20"/>
          <w:lang w:val="en-US" w:eastAsia="zh-CN"/>
        </w:rPr>
        <w:t xml:space="preserve"> is a good candidate.</w:t>
      </w:r>
    </w:p>
    <w:p>
      <w:pPr>
        <w:snapToGrid w:val="0"/>
        <w:spacing w:before="120" w:line="240" w:lineRule="auto"/>
        <w:jc w:val="center"/>
      </w:pPr>
      <w:r>
        <w:object>
          <v:shape id="_x0000_i1027" o:spt="75" type="#_x0000_t75" style="height:168.2pt;width:134.2pt;" o:ole="t" filled="f" o:preferrelative="t" stroked="f" coordsize="21600,21600">
            <v:path/>
            <v:fill on="f" focussize="0,0"/>
            <v:stroke on="f"/>
            <v:imagedata r:id="rId9" o:title=""/>
            <o:lock v:ext="edit" aspectratio="f"/>
            <w10:wrap type="none"/>
            <w10:anchorlock/>
          </v:shape>
          <o:OLEObject Type="Embed" ProgID="Visio.Drawing.11" ShapeID="_x0000_i1027" DrawAspect="Content" ObjectID="_1468075727" r:id="rId8">
            <o:LockedField>false</o:LockedField>
          </o:OLEObject>
        </w:object>
      </w:r>
    </w:p>
    <w:p>
      <w:pPr>
        <w:snapToGrid w:val="0"/>
        <w:spacing w:before="120" w:line="240" w:lineRule="auto"/>
        <w:jc w:val="center"/>
        <w:rPr>
          <w:iCs/>
          <w:szCs w:val="20"/>
        </w:rPr>
      </w:pPr>
      <w:r>
        <w:rPr>
          <w:rFonts w:hint="eastAsia"/>
          <w:iCs/>
          <w:szCs w:val="20"/>
        </w:rPr>
        <w:t>Fig.</w:t>
      </w:r>
      <w:r>
        <w:rPr>
          <w:rFonts w:hint="eastAsia"/>
          <w:iCs/>
          <w:szCs w:val="20"/>
          <w:lang w:val="en-US" w:eastAsia="zh-CN"/>
        </w:rPr>
        <w:t>3</w:t>
      </w:r>
      <w:r>
        <w:rPr>
          <w:rFonts w:hint="eastAsia"/>
          <w:iCs/>
          <w:szCs w:val="20"/>
        </w:rPr>
        <w:t xml:space="preserve"> Comb pattern for partial-subband reporting</w:t>
      </w:r>
      <w:r>
        <w:rPr>
          <w:rFonts w:hint="eastAsia"/>
          <w:iCs/>
          <w:szCs w:val="20"/>
          <w:lang w:val="en-US" w:eastAsia="zh-CN"/>
        </w:rPr>
        <w:t xml:space="preserve"> with Comb size = 2</w:t>
      </w:r>
    </w:p>
    <w:p>
      <w:pPr>
        <w:numPr>
          <w:ilvl w:val="255"/>
          <w:numId w:val="0"/>
        </w:numPr>
        <w:snapToGrid w:val="0"/>
        <w:spacing w:before="120" w:line="240" w:lineRule="auto"/>
        <w:rPr>
          <w:iCs/>
          <w:szCs w:val="20"/>
        </w:rPr>
      </w:pPr>
      <w:r>
        <w:rPr>
          <w:rFonts w:hint="eastAsia"/>
          <w:iCs/>
          <w:szCs w:val="20"/>
        </w:rPr>
        <w:t>We evaluate the performance of proposed partial-subband reporting by extending current Type II codebook to support higher rank case.</w:t>
      </w:r>
      <w:r>
        <w:rPr>
          <w:rFonts w:hint="eastAsia"/>
          <w:iCs/>
          <w:szCs w:val="20"/>
          <w:lang w:val="en-US" w:eastAsia="zh-CN"/>
        </w:rPr>
        <w:t xml:space="preserve"> </w:t>
      </w:r>
      <w:r>
        <w:rPr>
          <w:rFonts w:hint="eastAsia"/>
          <w:iCs/>
          <w:szCs w:val="20"/>
        </w:rPr>
        <w:t>Up to rank-4, 4-beam combination and (SB size, Comb size) = (6, 2) are applied in the simulation. UE is equipped with 4 Rx antenna, FTP service and MU-MIMO model are used. Simulation results are collected in Table III.</w:t>
      </w:r>
    </w:p>
    <w:p>
      <w:pPr>
        <w:numPr>
          <w:ilvl w:val="255"/>
          <w:numId w:val="0"/>
        </w:numPr>
        <w:snapToGrid w:val="0"/>
        <w:spacing w:before="120" w:line="240" w:lineRule="auto"/>
        <w:jc w:val="center"/>
        <w:rPr>
          <w:iCs/>
          <w:szCs w:val="20"/>
        </w:rPr>
      </w:pPr>
      <w:r>
        <w:rPr>
          <w:rFonts w:hint="eastAsia"/>
          <w:b/>
          <w:bCs/>
          <w:iCs/>
          <w:szCs w:val="20"/>
        </w:rPr>
        <w:t>Table III. Performance of proposed scheme with higher rank type II codebook</w:t>
      </w:r>
    </w:p>
    <w:tbl>
      <w:tblPr>
        <w:tblStyle w:val="22"/>
        <w:tblW w:w="663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4"/>
        <w:gridCol w:w="1140"/>
        <w:gridCol w:w="948"/>
        <w:gridCol w:w="947"/>
        <w:gridCol w:w="947"/>
        <w:gridCol w:w="947"/>
        <w:gridCol w:w="9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54" w:type="dxa"/>
            <w:shd w:val="clear" w:color="auto" w:fill="D7D7D7" w:themeFill="background1" w:themeFillShade="D8"/>
          </w:tcPr>
          <w:p>
            <w:pPr>
              <w:snapToGrid w:val="0"/>
              <w:spacing w:before="120" w:line="240" w:lineRule="auto"/>
              <w:jc w:val="center"/>
              <w:rPr>
                <w:szCs w:val="20"/>
              </w:rPr>
            </w:pPr>
          </w:p>
        </w:tc>
        <w:tc>
          <w:tcPr>
            <w:tcW w:w="1140" w:type="dxa"/>
            <w:shd w:val="clear" w:color="auto" w:fill="D7D7D7" w:themeFill="background1" w:themeFillShade="D8"/>
          </w:tcPr>
          <w:p>
            <w:pPr>
              <w:snapToGrid w:val="0"/>
              <w:spacing w:before="120" w:line="240" w:lineRule="auto"/>
              <w:jc w:val="center"/>
              <w:rPr>
                <w:szCs w:val="20"/>
              </w:rPr>
            </w:pPr>
          </w:p>
        </w:tc>
        <w:tc>
          <w:tcPr>
            <w:tcW w:w="948" w:type="dxa"/>
            <w:shd w:val="clear" w:color="auto" w:fill="D7D7D7" w:themeFill="background1" w:themeFillShade="D8"/>
          </w:tcPr>
          <w:p>
            <w:pPr>
              <w:snapToGrid w:val="0"/>
              <w:spacing w:before="120" w:line="240" w:lineRule="auto"/>
              <w:jc w:val="center"/>
              <w:rPr>
                <w:szCs w:val="20"/>
              </w:rPr>
            </w:pPr>
            <w:r>
              <w:rPr>
                <w:szCs w:val="20"/>
              </w:rPr>
              <w:t>RU</w:t>
            </w:r>
          </w:p>
        </w:tc>
        <w:tc>
          <w:tcPr>
            <w:tcW w:w="947" w:type="dxa"/>
            <w:shd w:val="clear" w:color="auto" w:fill="D7D7D7" w:themeFill="background1" w:themeFillShade="D8"/>
          </w:tcPr>
          <w:p>
            <w:pPr>
              <w:snapToGrid w:val="0"/>
              <w:spacing w:before="120" w:line="240" w:lineRule="auto"/>
              <w:jc w:val="center"/>
              <w:rPr>
                <w:szCs w:val="20"/>
              </w:rPr>
            </w:pPr>
            <w:r>
              <w:rPr>
                <w:szCs w:val="20"/>
              </w:rPr>
              <w:t>Mean</w:t>
            </w:r>
          </w:p>
        </w:tc>
        <w:tc>
          <w:tcPr>
            <w:tcW w:w="947" w:type="dxa"/>
            <w:shd w:val="clear" w:color="auto" w:fill="D7D7D7" w:themeFill="background1" w:themeFillShade="D8"/>
          </w:tcPr>
          <w:p>
            <w:pPr>
              <w:snapToGrid w:val="0"/>
              <w:spacing w:before="120" w:line="240" w:lineRule="auto"/>
              <w:jc w:val="center"/>
              <w:rPr>
                <w:szCs w:val="20"/>
              </w:rPr>
            </w:pPr>
            <w:r>
              <w:rPr>
                <w:szCs w:val="20"/>
              </w:rPr>
              <w:t>Gain</w:t>
            </w:r>
          </w:p>
        </w:tc>
        <w:tc>
          <w:tcPr>
            <w:tcW w:w="947" w:type="dxa"/>
            <w:shd w:val="clear" w:color="auto" w:fill="D7D7D7" w:themeFill="background1" w:themeFillShade="D8"/>
          </w:tcPr>
          <w:p>
            <w:pPr>
              <w:snapToGrid w:val="0"/>
              <w:spacing w:before="120" w:line="240" w:lineRule="auto"/>
              <w:jc w:val="center"/>
              <w:rPr>
                <w:szCs w:val="20"/>
              </w:rPr>
            </w:pPr>
            <w:r>
              <w:rPr>
                <w:szCs w:val="20"/>
              </w:rPr>
              <w:t>5%</w:t>
            </w:r>
          </w:p>
        </w:tc>
        <w:tc>
          <w:tcPr>
            <w:tcW w:w="949" w:type="dxa"/>
            <w:shd w:val="clear" w:color="auto" w:fill="D7D7D7" w:themeFill="background1" w:themeFillShade="D8"/>
          </w:tcPr>
          <w:p>
            <w:pPr>
              <w:snapToGrid w:val="0"/>
              <w:spacing w:before="120" w:line="240" w:lineRule="auto"/>
              <w:jc w:val="center"/>
              <w:rPr>
                <w:szCs w:val="20"/>
              </w:rPr>
            </w:pPr>
            <w:r>
              <w:rPr>
                <w:szCs w:val="20"/>
              </w:rPr>
              <w:t>Gain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54" w:type="dxa"/>
            <w:vMerge w:val="restart"/>
          </w:tcPr>
          <w:p>
            <w:pPr>
              <w:snapToGrid w:val="0"/>
              <w:spacing w:before="120" w:line="240" w:lineRule="auto"/>
              <w:jc w:val="center"/>
              <w:rPr>
                <w:szCs w:val="20"/>
              </w:rPr>
            </w:pPr>
            <w:r>
              <w:rPr>
                <w:szCs w:val="20"/>
              </w:rPr>
              <w:t>16Tx</w:t>
            </w:r>
          </w:p>
        </w:tc>
        <w:tc>
          <w:tcPr>
            <w:tcW w:w="1140" w:type="dxa"/>
          </w:tcPr>
          <w:p>
            <w:pPr>
              <w:snapToGrid w:val="0"/>
              <w:spacing w:before="120" w:line="240" w:lineRule="auto"/>
              <w:jc w:val="center"/>
              <w:rPr>
                <w:szCs w:val="20"/>
              </w:rPr>
            </w:pPr>
            <w:r>
              <w:rPr>
                <w:szCs w:val="20"/>
              </w:rPr>
              <w:t>Legacy</w:t>
            </w:r>
          </w:p>
        </w:tc>
        <w:tc>
          <w:tcPr>
            <w:tcW w:w="948" w:type="dxa"/>
          </w:tcPr>
          <w:p>
            <w:pPr>
              <w:snapToGrid w:val="0"/>
              <w:spacing w:before="120" w:line="240" w:lineRule="auto"/>
              <w:jc w:val="center"/>
              <w:rPr>
                <w:szCs w:val="20"/>
              </w:rPr>
            </w:pPr>
            <w:r>
              <w:rPr>
                <w:szCs w:val="20"/>
              </w:rPr>
              <w:t>0.25</w:t>
            </w:r>
          </w:p>
        </w:tc>
        <w:tc>
          <w:tcPr>
            <w:tcW w:w="947" w:type="dxa"/>
          </w:tcPr>
          <w:p>
            <w:pPr>
              <w:snapToGrid w:val="0"/>
              <w:spacing w:before="120" w:line="240" w:lineRule="auto"/>
              <w:jc w:val="center"/>
              <w:rPr>
                <w:szCs w:val="20"/>
              </w:rPr>
            </w:pPr>
            <w:r>
              <w:rPr>
                <w:szCs w:val="20"/>
              </w:rPr>
              <w:t>54.39</w:t>
            </w:r>
          </w:p>
        </w:tc>
        <w:tc>
          <w:tcPr>
            <w:tcW w:w="947" w:type="dxa"/>
            <w:shd w:val="clear" w:color="auto" w:fill="C7DAF1" w:themeFill="text2" w:themeFillTint="32"/>
          </w:tcPr>
          <w:p>
            <w:pPr>
              <w:snapToGrid w:val="0"/>
              <w:spacing w:before="120" w:line="240" w:lineRule="auto"/>
              <w:jc w:val="center"/>
              <w:rPr>
                <w:szCs w:val="20"/>
              </w:rPr>
            </w:pPr>
            <w:r>
              <w:rPr>
                <w:szCs w:val="20"/>
              </w:rPr>
              <w:t>0%</w:t>
            </w:r>
          </w:p>
        </w:tc>
        <w:tc>
          <w:tcPr>
            <w:tcW w:w="947" w:type="dxa"/>
          </w:tcPr>
          <w:p>
            <w:pPr>
              <w:snapToGrid w:val="0"/>
              <w:spacing w:before="120" w:line="240" w:lineRule="auto"/>
              <w:jc w:val="center"/>
              <w:rPr>
                <w:szCs w:val="20"/>
              </w:rPr>
            </w:pPr>
            <w:r>
              <w:rPr>
                <w:szCs w:val="20"/>
              </w:rPr>
              <w:t>15.81</w:t>
            </w:r>
          </w:p>
        </w:tc>
        <w:tc>
          <w:tcPr>
            <w:tcW w:w="949" w:type="dxa"/>
            <w:shd w:val="clear" w:color="auto" w:fill="C7DAF1" w:themeFill="text2" w:themeFillTint="32"/>
          </w:tcPr>
          <w:p>
            <w:pPr>
              <w:snapToGrid w:val="0"/>
              <w:spacing w:before="120" w:line="240" w:lineRule="auto"/>
              <w:jc w:val="center"/>
              <w:rPr>
                <w:szCs w:val="20"/>
              </w:rPr>
            </w:pPr>
            <w:r>
              <w:rPr>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54" w:type="dxa"/>
            <w:vMerge w:val="continue"/>
          </w:tcPr>
          <w:p>
            <w:pPr>
              <w:snapToGrid w:val="0"/>
              <w:spacing w:before="120" w:line="240" w:lineRule="auto"/>
              <w:jc w:val="center"/>
              <w:rPr>
                <w:szCs w:val="20"/>
              </w:rPr>
            </w:pPr>
          </w:p>
        </w:tc>
        <w:tc>
          <w:tcPr>
            <w:tcW w:w="1140" w:type="dxa"/>
          </w:tcPr>
          <w:p>
            <w:pPr>
              <w:snapToGrid w:val="0"/>
              <w:spacing w:before="120" w:line="240" w:lineRule="auto"/>
              <w:jc w:val="center"/>
              <w:rPr>
                <w:szCs w:val="20"/>
              </w:rPr>
            </w:pPr>
            <w:r>
              <w:rPr>
                <w:rFonts w:hint="eastAsia"/>
                <w:szCs w:val="20"/>
              </w:rPr>
              <w:t>Option 1</w:t>
            </w:r>
          </w:p>
        </w:tc>
        <w:tc>
          <w:tcPr>
            <w:tcW w:w="948" w:type="dxa"/>
          </w:tcPr>
          <w:p>
            <w:pPr>
              <w:snapToGrid w:val="0"/>
              <w:spacing w:before="120" w:line="240" w:lineRule="auto"/>
              <w:jc w:val="center"/>
              <w:rPr>
                <w:szCs w:val="20"/>
              </w:rPr>
            </w:pPr>
            <w:r>
              <w:rPr>
                <w:szCs w:val="20"/>
              </w:rPr>
              <w:t>0.25</w:t>
            </w:r>
          </w:p>
        </w:tc>
        <w:tc>
          <w:tcPr>
            <w:tcW w:w="947" w:type="dxa"/>
          </w:tcPr>
          <w:p>
            <w:pPr>
              <w:snapToGrid w:val="0"/>
              <w:spacing w:before="120" w:line="240" w:lineRule="auto"/>
              <w:jc w:val="center"/>
              <w:rPr>
                <w:szCs w:val="20"/>
              </w:rPr>
            </w:pPr>
            <w:r>
              <w:rPr>
                <w:szCs w:val="20"/>
              </w:rPr>
              <w:t>53.82</w:t>
            </w:r>
          </w:p>
        </w:tc>
        <w:tc>
          <w:tcPr>
            <w:tcW w:w="947" w:type="dxa"/>
            <w:shd w:val="clear" w:color="auto" w:fill="C7DAF1" w:themeFill="text2" w:themeFillTint="32"/>
          </w:tcPr>
          <w:p>
            <w:pPr>
              <w:snapToGrid w:val="0"/>
              <w:spacing w:before="120" w:line="240" w:lineRule="auto"/>
              <w:jc w:val="center"/>
              <w:rPr>
                <w:szCs w:val="20"/>
              </w:rPr>
            </w:pPr>
            <w:r>
              <w:rPr>
                <w:szCs w:val="20"/>
              </w:rPr>
              <w:t>-1.0%</w:t>
            </w:r>
          </w:p>
        </w:tc>
        <w:tc>
          <w:tcPr>
            <w:tcW w:w="947" w:type="dxa"/>
          </w:tcPr>
          <w:p>
            <w:pPr>
              <w:snapToGrid w:val="0"/>
              <w:spacing w:before="120" w:line="240" w:lineRule="auto"/>
              <w:jc w:val="center"/>
              <w:rPr>
                <w:szCs w:val="20"/>
              </w:rPr>
            </w:pPr>
            <w:r>
              <w:rPr>
                <w:szCs w:val="20"/>
              </w:rPr>
              <w:t>15.52</w:t>
            </w:r>
          </w:p>
        </w:tc>
        <w:tc>
          <w:tcPr>
            <w:tcW w:w="949" w:type="dxa"/>
            <w:shd w:val="clear" w:color="auto" w:fill="C7DAF1" w:themeFill="text2" w:themeFillTint="32"/>
          </w:tcPr>
          <w:p>
            <w:pPr>
              <w:snapToGrid w:val="0"/>
              <w:spacing w:before="120" w:line="240" w:lineRule="auto"/>
              <w:jc w:val="center"/>
              <w:rPr>
                <w:szCs w:val="20"/>
              </w:rPr>
            </w:pPr>
            <w:r>
              <w:rPr>
                <w:szCs w:val="20"/>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54" w:type="dxa"/>
            <w:vMerge w:val="restart"/>
          </w:tcPr>
          <w:p>
            <w:pPr>
              <w:snapToGrid w:val="0"/>
              <w:spacing w:before="120" w:line="240" w:lineRule="auto"/>
              <w:jc w:val="center"/>
              <w:rPr>
                <w:szCs w:val="20"/>
              </w:rPr>
            </w:pPr>
            <w:r>
              <w:rPr>
                <w:szCs w:val="20"/>
              </w:rPr>
              <w:t>32Tx</w:t>
            </w:r>
          </w:p>
        </w:tc>
        <w:tc>
          <w:tcPr>
            <w:tcW w:w="1140" w:type="dxa"/>
          </w:tcPr>
          <w:p>
            <w:pPr>
              <w:snapToGrid w:val="0"/>
              <w:spacing w:before="120" w:line="240" w:lineRule="auto"/>
              <w:jc w:val="center"/>
              <w:rPr>
                <w:szCs w:val="20"/>
              </w:rPr>
            </w:pPr>
            <w:r>
              <w:rPr>
                <w:szCs w:val="20"/>
              </w:rPr>
              <w:t>Legacy</w:t>
            </w:r>
          </w:p>
        </w:tc>
        <w:tc>
          <w:tcPr>
            <w:tcW w:w="948" w:type="dxa"/>
          </w:tcPr>
          <w:p>
            <w:pPr>
              <w:snapToGrid w:val="0"/>
              <w:spacing w:before="120" w:line="240" w:lineRule="auto"/>
              <w:jc w:val="center"/>
              <w:rPr>
                <w:szCs w:val="20"/>
              </w:rPr>
            </w:pPr>
            <w:r>
              <w:rPr>
                <w:szCs w:val="20"/>
              </w:rPr>
              <w:t>0.25</w:t>
            </w:r>
          </w:p>
        </w:tc>
        <w:tc>
          <w:tcPr>
            <w:tcW w:w="947" w:type="dxa"/>
          </w:tcPr>
          <w:p>
            <w:pPr>
              <w:snapToGrid w:val="0"/>
              <w:spacing w:before="120" w:line="240" w:lineRule="auto"/>
              <w:jc w:val="center"/>
              <w:rPr>
                <w:szCs w:val="20"/>
              </w:rPr>
            </w:pPr>
            <w:r>
              <w:rPr>
                <w:szCs w:val="20"/>
              </w:rPr>
              <w:t>57.57</w:t>
            </w:r>
          </w:p>
        </w:tc>
        <w:tc>
          <w:tcPr>
            <w:tcW w:w="947" w:type="dxa"/>
            <w:shd w:val="clear" w:color="auto" w:fill="C7DAF1" w:themeFill="text2" w:themeFillTint="32"/>
          </w:tcPr>
          <w:p>
            <w:pPr>
              <w:snapToGrid w:val="0"/>
              <w:spacing w:before="120" w:line="240" w:lineRule="auto"/>
              <w:jc w:val="center"/>
              <w:rPr>
                <w:szCs w:val="20"/>
              </w:rPr>
            </w:pPr>
            <w:r>
              <w:rPr>
                <w:szCs w:val="20"/>
              </w:rPr>
              <w:t>0%</w:t>
            </w:r>
          </w:p>
        </w:tc>
        <w:tc>
          <w:tcPr>
            <w:tcW w:w="947" w:type="dxa"/>
          </w:tcPr>
          <w:p>
            <w:pPr>
              <w:snapToGrid w:val="0"/>
              <w:spacing w:before="120" w:line="240" w:lineRule="auto"/>
              <w:jc w:val="center"/>
              <w:rPr>
                <w:szCs w:val="20"/>
              </w:rPr>
            </w:pPr>
            <w:r>
              <w:rPr>
                <w:szCs w:val="20"/>
              </w:rPr>
              <w:t>23.05</w:t>
            </w:r>
          </w:p>
        </w:tc>
        <w:tc>
          <w:tcPr>
            <w:tcW w:w="949" w:type="dxa"/>
            <w:shd w:val="clear" w:color="auto" w:fill="C7DAF1" w:themeFill="text2" w:themeFillTint="32"/>
          </w:tcPr>
          <w:p>
            <w:pPr>
              <w:snapToGrid w:val="0"/>
              <w:spacing w:before="120" w:line="240" w:lineRule="auto"/>
              <w:jc w:val="center"/>
              <w:rPr>
                <w:szCs w:val="20"/>
              </w:rPr>
            </w:pPr>
            <w:r>
              <w:rPr>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54" w:type="dxa"/>
            <w:vMerge w:val="continue"/>
          </w:tcPr>
          <w:p>
            <w:pPr>
              <w:snapToGrid w:val="0"/>
              <w:spacing w:before="120" w:line="240" w:lineRule="auto"/>
              <w:jc w:val="center"/>
              <w:rPr>
                <w:szCs w:val="20"/>
              </w:rPr>
            </w:pPr>
          </w:p>
        </w:tc>
        <w:tc>
          <w:tcPr>
            <w:tcW w:w="1140" w:type="dxa"/>
          </w:tcPr>
          <w:p>
            <w:pPr>
              <w:snapToGrid w:val="0"/>
              <w:spacing w:before="120" w:line="240" w:lineRule="auto"/>
              <w:jc w:val="center"/>
              <w:rPr>
                <w:szCs w:val="20"/>
              </w:rPr>
            </w:pPr>
            <w:r>
              <w:rPr>
                <w:rFonts w:hint="eastAsia"/>
                <w:szCs w:val="20"/>
              </w:rPr>
              <w:t>Option 1</w:t>
            </w:r>
          </w:p>
        </w:tc>
        <w:tc>
          <w:tcPr>
            <w:tcW w:w="948" w:type="dxa"/>
          </w:tcPr>
          <w:p>
            <w:pPr>
              <w:snapToGrid w:val="0"/>
              <w:spacing w:before="120" w:line="240" w:lineRule="auto"/>
              <w:jc w:val="center"/>
              <w:rPr>
                <w:szCs w:val="20"/>
              </w:rPr>
            </w:pPr>
            <w:r>
              <w:rPr>
                <w:szCs w:val="20"/>
              </w:rPr>
              <w:t>0.25</w:t>
            </w:r>
          </w:p>
        </w:tc>
        <w:tc>
          <w:tcPr>
            <w:tcW w:w="947" w:type="dxa"/>
          </w:tcPr>
          <w:p>
            <w:pPr>
              <w:snapToGrid w:val="0"/>
              <w:spacing w:before="120" w:line="240" w:lineRule="auto"/>
              <w:jc w:val="center"/>
              <w:rPr>
                <w:szCs w:val="20"/>
              </w:rPr>
            </w:pPr>
            <w:r>
              <w:rPr>
                <w:szCs w:val="20"/>
              </w:rPr>
              <w:t>57.26</w:t>
            </w:r>
          </w:p>
        </w:tc>
        <w:tc>
          <w:tcPr>
            <w:tcW w:w="947" w:type="dxa"/>
            <w:shd w:val="clear" w:color="auto" w:fill="C7DAF1" w:themeFill="text2" w:themeFillTint="32"/>
          </w:tcPr>
          <w:p>
            <w:pPr>
              <w:snapToGrid w:val="0"/>
              <w:spacing w:before="120" w:line="240" w:lineRule="auto"/>
              <w:jc w:val="center"/>
              <w:rPr>
                <w:szCs w:val="20"/>
              </w:rPr>
            </w:pPr>
            <w:r>
              <w:rPr>
                <w:szCs w:val="20"/>
              </w:rPr>
              <w:t>-0.0%</w:t>
            </w:r>
          </w:p>
        </w:tc>
        <w:tc>
          <w:tcPr>
            <w:tcW w:w="947" w:type="dxa"/>
          </w:tcPr>
          <w:p>
            <w:pPr>
              <w:snapToGrid w:val="0"/>
              <w:spacing w:before="120" w:line="240" w:lineRule="auto"/>
              <w:jc w:val="center"/>
              <w:rPr>
                <w:szCs w:val="20"/>
              </w:rPr>
            </w:pPr>
            <w:r>
              <w:rPr>
                <w:szCs w:val="20"/>
              </w:rPr>
              <w:t>22.61</w:t>
            </w:r>
          </w:p>
        </w:tc>
        <w:tc>
          <w:tcPr>
            <w:tcW w:w="949" w:type="dxa"/>
            <w:shd w:val="clear" w:color="auto" w:fill="C7DAF1" w:themeFill="text2" w:themeFillTint="32"/>
          </w:tcPr>
          <w:p>
            <w:pPr>
              <w:snapToGrid w:val="0"/>
              <w:spacing w:before="120" w:line="240" w:lineRule="auto"/>
              <w:jc w:val="center"/>
              <w:rPr>
                <w:szCs w:val="20"/>
              </w:rPr>
            </w:pPr>
            <w:r>
              <w:rPr>
                <w:szCs w:val="20"/>
              </w:rPr>
              <w:t>-1.9%</w:t>
            </w:r>
          </w:p>
        </w:tc>
      </w:tr>
    </w:tbl>
    <w:p>
      <w:pPr>
        <w:snapToGrid w:val="0"/>
        <w:spacing w:before="120" w:line="240" w:lineRule="auto"/>
        <w:rPr>
          <w:iCs/>
          <w:szCs w:val="20"/>
        </w:rPr>
      </w:pPr>
      <w:r>
        <w:rPr>
          <w:rFonts w:hint="eastAsia"/>
          <w:iCs/>
          <w:szCs w:val="20"/>
        </w:rPr>
        <w:t>From Table III, we can see that proposed scheme brings extremely marginal loss on the performance, whereas half of suband CSI feedback overhead can be reduced. We can choose larger comb size to further reduce the PMI payload if needed.</w:t>
      </w:r>
    </w:p>
    <w:p>
      <w:pPr>
        <w:snapToGrid w:val="0"/>
        <w:spacing w:before="120" w:line="240" w:lineRule="auto"/>
        <w:rPr>
          <w:i/>
          <w:szCs w:val="20"/>
        </w:rPr>
      </w:pPr>
      <w:r>
        <w:rPr>
          <w:rFonts w:hint="eastAsia"/>
          <w:b/>
          <w:bCs/>
          <w:i/>
          <w:szCs w:val="20"/>
        </w:rPr>
        <w:t xml:space="preserve">Observation: </w:t>
      </w:r>
      <w:r>
        <w:rPr>
          <w:rFonts w:hint="eastAsia"/>
          <w:i/>
          <w:szCs w:val="20"/>
        </w:rPr>
        <w:t xml:space="preserve">Partial-subband CSI reporting is </w:t>
      </w:r>
      <w:r>
        <w:rPr>
          <w:i/>
          <w:szCs w:val="20"/>
        </w:rPr>
        <w:t xml:space="preserve">also </w:t>
      </w:r>
      <w:r>
        <w:rPr>
          <w:rFonts w:hint="eastAsia"/>
          <w:i/>
          <w:szCs w:val="20"/>
        </w:rPr>
        <w:t>a good candidate to support higher rank Type II CSI in NR Phase II.</w:t>
      </w:r>
    </w:p>
    <w:p>
      <w:pPr>
        <w:numPr>
          <w:ilvl w:val="0"/>
          <w:numId w:val="7"/>
        </w:numPr>
        <w:snapToGrid w:val="0"/>
        <w:spacing w:before="120" w:line="240" w:lineRule="auto"/>
        <w:ind w:left="357" w:hanging="357"/>
        <w:rPr>
          <w:b/>
          <w:sz w:val="24"/>
          <w:szCs w:val="24"/>
        </w:rPr>
      </w:pPr>
      <w:r>
        <w:rPr>
          <w:rFonts w:hint="eastAsia"/>
          <w:b/>
          <w:sz w:val="24"/>
          <w:szCs w:val="24"/>
        </w:rPr>
        <w:t>Conclusions</w:t>
      </w:r>
    </w:p>
    <w:p>
      <w:pPr>
        <w:snapToGrid w:val="0"/>
        <w:spacing w:before="120" w:line="240" w:lineRule="auto"/>
        <w:rPr>
          <w:rFonts w:hAnsi="宋体"/>
          <w:szCs w:val="20"/>
        </w:rPr>
      </w:pPr>
      <w:r>
        <w:rPr>
          <w:rFonts w:hint="eastAsia" w:hAnsi="宋体"/>
          <w:szCs w:val="20"/>
        </w:rPr>
        <w:t>In this contribution, we discuss details</w:t>
      </w:r>
      <w:r>
        <w:rPr>
          <w:rFonts w:hint="eastAsia" w:hAnsi="宋体"/>
          <w:szCs w:val="20"/>
          <w:lang w:val="en-US" w:eastAsia="zh-CN"/>
        </w:rPr>
        <w:t xml:space="preserve"> on</w:t>
      </w:r>
      <w:r>
        <w:rPr>
          <w:rFonts w:hint="eastAsia" w:hAnsi="宋体"/>
          <w:szCs w:val="20"/>
        </w:rPr>
        <w:t xml:space="preserve"> </w:t>
      </w:r>
      <w:r>
        <w:rPr>
          <w:rFonts w:hint="eastAsia" w:hAnsi="宋体"/>
          <w:szCs w:val="20"/>
          <w:lang w:val="en-US" w:eastAsia="zh-CN"/>
        </w:rPr>
        <w:t>remaining issues of CSI reporting</w:t>
      </w:r>
      <w:r>
        <w:rPr>
          <w:rFonts w:hint="eastAsia" w:hAnsi="宋体"/>
          <w:szCs w:val="20"/>
        </w:rPr>
        <w:t>. Based on the above discussion, we have the following observation and proposal.</w:t>
      </w:r>
    </w:p>
    <w:p>
      <w:pPr>
        <w:keepNext w:val="0"/>
        <w:keepLines w:val="0"/>
        <w:pageBreakBefore w:val="0"/>
        <w:widowControl/>
        <w:kinsoku/>
        <w:wordWrap/>
        <w:overflowPunct/>
        <w:topLinePunct w:val="0"/>
        <w:autoSpaceDE/>
        <w:autoSpaceDN/>
        <w:bidi w:val="0"/>
        <w:adjustRightInd w:val="0"/>
        <w:snapToGrid w:val="0"/>
        <w:spacing w:before="120" w:line="240" w:lineRule="auto"/>
        <w:ind w:left="0" w:leftChars="0" w:right="0" w:rightChars="0" w:firstLine="0" w:firstLineChars="0"/>
        <w:jc w:val="both"/>
        <w:textAlignment w:val="auto"/>
        <w:outlineLvl w:val="9"/>
        <w:rPr>
          <w:rFonts w:hint="eastAsia"/>
          <w:bCs/>
          <w:i/>
          <w:iCs/>
          <w:sz w:val="20"/>
          <w:szCs w:val="20"/>
          <w:lang w:val="en-US" w:eastAsia="zh-CN"/>
        </w:rPr>
      </w:pPr>
      <w:r>
        <w:rPr>
          <w:rFonts w:hint="eastAsia"/>
          <w:b/>
          <w:bCs w:val="0"/>
          <w:i/>
          <w:iCs/>
          <w:sz w:val="20"/>
          <w:szCs w:val="20"/>
          <w:lang w:val="en-US" w:eastAsia="zh-CN"/>
        </w:rPr>
        <w:t>Proposal 1:</w:t>
      </w:r>
      <w:r>
        <w:rPr>
          <w:rFonts w:hint="eastAsia"/>
          <w:bCs/>
          <w:i/>
          <w:iCs/>
          <w:sz w:val="20"/>
          <w:szCs w:val="20"/>
          <w:lang w:val="en-US" w:eastAsia="zh-CN"/>
        </w:rPr>
        <w:t xml:space="preserve"> Define n_cal as the number of processing CSI reports for a given slot. The initial value of n_cal is 0.</w:t>
      </w:r>
    </w:p>
    <w:p>
      <w:pPr>
        <w:keepNext w:val="0"/>
        <w:keepLines w:val="0"/>
        <w:pageBreakBefore w:val="0"/>
        <w:widowControl/>
        <w:numPr>
          <w:ilvl w:val="0"/>
          <w:numId w:val="8"/>
        </w:numPr>
        <w:kinsoku/>
        <w:wordWrap/>
        <w:overflowPunct/>
        <w:topLinePunct w:val="0"/>
        <w:autoSpaceDE/>
        <w:autoSpaceDN/>
        <w:bidi w:val="0"/>
        <w:adjustRightInd w:val="0"/>
        <w:snapToGrid w:val="0"/>
        <w:spacing w:line="240" w:lineRule="auto"/>
        <w:ind w:left="420" w:leftChars="0" w:right="0" w:rightChars="0" w:hanging="420" w:firstLineChars="0"/>
        <w:jc w:val="both"/>
        <w:textAlignment w:val="auto"/>
        <w:outlineLvl w:val="9"/>
        <w:rPr>
          <w:rFonts w:hint="eastAsia"/>
          <w:bCs/>
          <w:i/>
          <w:iCs/>
          <w:sz w:val="20"/>
          <w:szCs w:val="20"/>
          <w:lang w:val="en-US" w:eastAsia="zh-CN"/>
        </w:rPr>
      </w:pPr>
      <w:r>
        <w:rPr>
          <w:rFonts w:hint="eastAsia"/>
          <w:bCs/>
          <w:i/>
          <w:iCs/>
          <w:sz w:val="20"/>
          <w:szCs w:val="20"/>
          <w:lang w:val="en-US" w:eastAsia="zh-CN"/>
        </w:rPr>
        <w:t>The maximum value of n_cal, denoted as N_max_cal, is a UE capability.</w:t>
      </w:r>
    </w:p>
    <w:p>
      <w:pPr>
        <w:keepNext w:val="0"/>
        <w:keepLines w:val="0"/>
        <w:pageBreakBefore w:val="0"/>
        <w:widowControl/>
        <w:numPr>
          <w:ilvl w:val="0"/>
          <w:numId w:val="8"/>
        </w:numPr>
        <w:kinsoku/>
        <w:wordWrap/>
        <w:overflowPunct/>
        <w:topLinePunct w:val="0"/>
        <w:autoSpaceDE/>
        <w:autoSpaceDN/>
        <w:bidi w:val="0"/>
        <w:adjustRightInd w:val="0"/>
        <w:snapToGrid w:val="0"/>
        <w:spacing w:line="240" w:lineRule="auto"/>
        <w:ind w:left="420" w:leftChars="0" w:right="0" w:rightChars="0" w:hanging="420" w:firstLineChars="0"/>
        <w:jc w:val="both"/>
        <w:textAlignment w:val="auto"/>
        <w:outlineLvl w:val="9"/>
        <w:rPr>
          <w:rFonts w:hint="eastAsia"/>
          <w:bCs/>
          <w:i/>
          <w:iCs/>
          <w:sz w:val="20"/>
          <w:szCs w:val="20"/>
          <w:lang w:val="en-US" w:eastAsia="zh-CN"/>
        </w:rPr>
      </w:pPr>
      <w:r>
        <w:rPr>
          <w:rFonts w:hint="eastAsia"/>
          <w:bCs/>
          <w:i/>
          <w:iCs/>
          <w:sz w:val="20"/>
          <w:szCs w:val="20"/>
          <w:lang w:val="en-US" w:eastAsia="zh-CN"/>
        </w:rPr>
        <w:t xml:space="preserve">If one CSI triggering happens in a certain slot and n_cal &lt; N_max_cal, n_cal = n_cal + 1, and this CSI report is marked as </w:t>
      </w:r>
      <w:r>
        <w:rPr>
          <w:rFonts w:hint="default"/>
          <w:bCs/>
          <w:i/>
          <w:iCs/>
          <w:sz w:val="20"/>
          <w:szCs w:val="20"/>
          <w:lang w:val="en-US" w:eastAsia="zh-CN"/>
        </w:rPr>
        <w:t>‘</w:t>
      </w:r>
      <w:r>
        <w:rPr>
          <w:rFonts w:hint="eastAsia"/>
          <w:bCs/>
          <w:i/>
          <w:iCs/>
          <w:sz w:val="20"/>
          <w:szCs w:val="20"/>
          <w:lang w:val="en-US" w:eastAsia="zh-CN"/>
        </w:rPr>
        <w:t>processing CSI</w:t>
      </w:r>
      <w:r>
        <w:rPr>
          <w:rFonts w:hint="default"/>
          <w:bCs/>
          <w:i/>
          <w:iCs/>
          <w:sz w:val="20"/>
          <w:szCs w:val="20"/>
          <w:lang w:val="en-US" w:eastAsia="zh-CN"/>
        </w:rPr>
        <w:t>’</w:t>
      </w:r>
      <w:r>
        <w:rPr>
          <w:rFonts w:hint="eastAsia"/>
          <w:bCs/>
          <w:i/>
          <w:iCs/>
          <w:sz w:val="20"/>
          <w:szCs w:val="20"/>
          <w:lang w:val="en-US" w:eastAsia="zh-CN"/>
        </w:rPr>
        <w:t>.</w:t>
      </w:r>
    </w:p>
    <w:p>
      <w:pPr>
        <w:keepNext w:val="0"/>
        <w:keepLines w:val="0"/>
        <w:pageBreakBefore w:val="0"/>
        <w:widowControl/>
        <w:numPr>
          <w:ilvl w:val="0"/>
          <w:numId w:val="8"/>
        </w:numPr>
        <w:kinsoku/>
        <w:wordWrap/>
        <w:overflowPunct/>
        <w:topLinePunct w:val="0"/>
        <w:autoSpaceDE/>
        <w:autoSpaceDN/>
        <w:bidi w:val="0"/>
        <w:adjustRightInd w:val="0"/>
        <w:snapToGrid w:val="0"/>
        <w:spacing w:line="240" w:lineRule="auto"/>
        <w:ind w:left="420" w:leftChars="0" w:right="0" w:rightChars="0" w:hanging="420" w:firstLineChars="0"/>
        <w:jc w:val="both"/>
        <w:textAlignment w:val="auto"/>
        <w:outlineLvl w:val="9"/>
        <w:rPr>
          <w:rFonts w:hint="eastAsia"/>
          <w:bCs/>
          <w:i/>
          <w:iCs/>
          <w:sz w:val="20"/>
          <w:szCs w:val="20"/>
          <w:lang w:val="en-US" w:eastAsia="zh-CN"/>
        </w:rPr>
      </w:pPr>
      <w:r>
        <w:rPr>
          <w:rFonts w:hint="eastAsia"/>
          <w:bCs/>
          <w:i/>
          <w:iCs/>
          <w:sz w:val="20"/>
          <w:szCs w:val="20"/>
          <w:lang w:val="en-US" w:eastAsia="zh-CN"/>
        </w:rPr>
        <w:t xml:space="preserve">If one CSI triggering happens in a certain slot and n_cal = N_max_cal, this CSI report is marked as </w:t>
      </w:r>
      <w:r>
        <w:rPr>
          <w:rFonts w:hint="default"/>
          <w:bCs/>
          <w:i/>
          <w:iCs/>
          <w:sz w:val="20"/>
          <w:szCs w:val="20"/>
          <w:lang w:val="en-US" w:eastAsia="zh-CN"/>
        </w:rPr>
        <w:t>‘</w:t>
      </w:r>
      <w:r>
        <w:rPr>
          <w:rFonts w:hint="eastAsia"/>
          <w:bCs/>
          <w:i/>
          <w:iCs/>
          <w:sz w:val="20"/>
          <w:szCs w:val="20"/>
          <w:lang w:val="en-US" w:eastAsia="zh-CN"/>
        </w:rPr>
        <w:t>extra CSI</w:t>
      </w:r>
      <w:r>
        <w:rPr>
          <w:rFonts w:hint="default"/>
          <w:bCs/>
          <w:i/>
          <w:iCs/>
          <w:sz w:val="20"/>
          <w:szCs w:val="20"/>
          <w:lang w:val="en-US" w:eastAsia="zh-CN"/>
        </w:rPr>
        <w:t>’</w:t>
      </w:r>
      <w:r>
        <w:rPr>
          <w:rFonts w:hint="eastAsia"/>
          <w:bCs/>
          <w:i/>
          <w:iCs/>
          <w:sz w:val="20"/>
          <w:szCs w:val="20"/>
          <w:lang w:val="en-US" w:eastAsia="zh-CN"/>
        </w:rPr>
        <w:t xml:space="preserve">. </w:t>
      </w:r>
    </w:p>
    <w:p>
      <w:pPr>
        <w:keepNext w:val="0"/>
        <w:keepLines w:val="0"/>
        <w:pageBreakBefore w:val="0"/>
        <w:widowControl/>
        <w:numPr>
          <w:ilvl w:val="0"/>
          <w:numId w:val="8"/>
        </w:numPr>
        <w:kinsoku/>
        <w:wordWrap/>
        <w:overflowPunct/>
        <w:topLinePunct w:val="0"/>
        <w:autoSpaceDE/>
        <w:autoSpaceDN/>
        <w:bidi w:val="0"/>
        <w:adjustRightInd w:val="0"/>
        <w:snapToGrid w:val="0"/>
        <w:spacing w:line="240" w:lineRule="auto"/>
        <w:ind w:left="420" w:leftChars="0" w:right="0" w:rightChars="0" w:hanging="420" w:firstLineChars="0"/>
        <w:jc w:val="both"/>
        <w:textAlignment w:val="auto"/>
        <w:outlineLvl w:val="9"/>
        <w:rPr>
          <w:rFonts w:hint="eastAsia"/>
          <w:bCs/>
          <w:i/>
          <w:iCs/>
          <w:sz w:val="20"/>
          <w:szCs w:val="20"/>
          <w:lang w:val="en-US" w:eastAsia="zh-CN"/>
        </w:rPr>
      </w:pPr>
      <w:r>
        <w:rPr>
          <w:rFonts w:hint="eastAsia"/>
          <w:bCs/>
          <w:i/>
          <w:iCs/>
          <w:sz w:val="20"/>
          <w:szCs w:val="20"/>
          <w:lang w:val="en-US" w:eastAsia="zh-CN"/>
        </w:rPr>
        <w:t xml:space="preserve">If one </w:t>
      </w:r>
      <w:r>
        <w:rPr>
          <w:rFonts w:hint="default"/>
          <w:bCs/>
          <w:i/>
          <w:iCs/>
          <w:sz w:val="20"/>
          <w:szCs w:val="20"/>
          <w:lang w:val="en-US" w:eastAsia="zh-CN"/>
        </w:rPr>
        <w:t>‘</w:t>
      </w:r>
      <w:r>
        <w:rPr>
          <w:rFonts w:hint="eastAsia"/>
          <w:bCs/>
          <w:i/>
          <w:iCs/>
          <w:sz w:val="20"/>
          <w:szCs w:val="20"/>
          <w:lang w:val="en-US" w:eastAsia="zh-CN"/>
        </w:rPr>
        <w:t>processing CSI</w:t>
      </w:r>
      <w:r>
        <w:rPr>
          <w:rFonts w:hint="default"/>
          <w:bCs/>
          <w:i/>
          <w:iCs/>
          <w:sz w:val="20"/>
          <w:szCs w:val="20"/>
          <w:lang w:val="en-US" w:eastAsia="zh-CN"/>
        </w:rPr>
        <w:t>’</w:t>
      </w:r>
      <w:r>
        <w:rPr>
          <w:rFonts w:hint="eastAsia"/>
          <w:bCs/>
          <w:i/>
          <w:iCs/>
          <w:sz w:val="20"/>
          <w:szCs w:val="20"/>
          <w:lang w:val="en-US" w:eastAsia="zh-CN"/>
        </w:rPr>
        <w:t xml:space="preserve"> is transmitted in a certain slot, n_cal = n_cal - 1. </w:t>
      </w:r>
    </w:p>
    <w:p>
      <w:pPr>
        <w:keepNext w:val="0"/>
        <w:keepLines w:val="0"/>
        <w:pageBreakBefore w:val="0"/>
        <w:widowControl/>
        <w:numPr>
          <w:ilvl w:val="0"/>
          <w:numId w:val="8"/>
        </w:numPr>
        <w:kinsoku/>
        <w:wordWrap/>
        <w:overflowPunct/>
        <w:topLinePunct w:val="0"/>
        <w:autoSpaceDE/>
        <w:autoSpaceDN/>
        <w:bidi w:val="0"/>
        <w:adjustRightInd w:val="0"/>
        <w:snapToGrid w:val="0"/>
        <w:spacing w:after="200" w:line="240" w:lineRule="auto"/>
        <w:ind w:left="420" w:leftChars="0" w:right="0" w:rightChars="0" w:hanging="420" w:firstLineChars="0"/>
        <w:jc w:val="both"/>
        <w:textAlignment w:val="auto"/>
        <w:outlineLvl w:val="9"/>
        <w:rPr>
          <w:rFonts w:hint="eastAsia"/>
          <w:bCs/>
          <w:sz w:val="20"/>
          <w:szCs w:val="20"/>
          <w:lang w:val="en-US" w:eastAsia="zh-CN"/>
        </w:rPr>
      </w:pPr>
      <w:r>
        <w:rPr>
          <w:rFonts w:hint="eastAsia"/>
          <w:bCs/>
          <w:i/>
          <w:iCs/>
          <w:sz w:val="20"/>
          <w:szCs w:val="20"/>
          <w:lang w:val="en-US" w:eastAsia="zh-CN"/>
        </w:rPr>
        <w:t xml:space="preserve">UE is not required to update </w:t>
      </w:r>
      <w:r>
        <w:rPr>
          <w:rFonts w:hint="default"/>
          <w:bCs/>
          <w:i/>
          <w:iCs/>
          <w:sz w:val="20"/>
          <w:szCs w:val="20"/>
          <w:lang w:val="en-US" w:eastAsia="zh-CN"/>
        </w:rPr>
        <w:t>‘</w:t>
      </w:r>
      <w:r>
        <w:rPr>
          <w:rFonts w:hint="eastAsia"/>
          <w:bCs/>
          <w:i/>
          <w:iCs/>
          <w:sz w:val="20"/>
          <w:szCs w:val="20"/>
          <w:lang w:val="en-US" w:eastAsia="zh-CN"/>
        </w:rPr>
        <w:t>extra CSI</w:t>
      </w:r>
      <w:r>
        <w:rPr>
          <w:rFonts w:hint="default"/>
          <w:bCs/>
          <w:i/>
          <w:iCs/>
          <w:sz w:val="20"/>
          <w:szCs w:val="20"/>
          <w:lang w:val="en-US" w:eastAsia="zh-CN"/>
        </w:rPr>
        <w:t>’</w:t>
      </w:r>
      <w:r>
        <w:rPr>
          <w:rFonts w:hint="eastAsia"/>
          <w:bCs/>
          <w:i/>
          <w:iCs/>
          <w:sz w:val="20"/>
          <w:szCs w:val="20"/>
          <w:lang w:val="en-US" w:eastAsia="zh-CN"/>
        </w:rPr>
        <w:t>.</w:t>
      </w:r>
      <w:r>
        <w:rPr>
          <w:rFonts w:hint="eastAsia"/>
          <w:bCs/>
          <w:sz w:val="20"/>
          <w:szCs w:val="20"/>
          <w:lang w:val="en-US" w:eastAsia="zh-CN"/>
        </w:rPr>
        <w:t xml:space="preserve"> </w:t>
      </w:r>
    </w:p>
    <w:p>
      <w:pPr>
        <w:adjustRightInd w:val="0"/>
        <w:snapToGrid w:val="0"/>
        <w:spacing w:before="120" w:after="0" w:line="240" w:lineRule="auto"/>
        <w:jc w:val="both"/>
        <w:rPr>
          <w:rFonts w:ascii="Times New Roman" w:hAnsi="Times New Roman"/>
          <w:i/>
          <w:iCs/>
          <w:color w:val="auto"/>
          <w:sz w:val="20"/>
          <w:szCs w:val="20"/>
          <w:highlight w:val="none"/>
        </w:rPr>
      </w:pPr>
      <w:r>
        <w:rPr>
          <w:rFonts w:hint="eastAsia" w:ascii="Times New Roman" w:hAnsi="Times New Roman"/>
          <w:b/>
          <w:bCs/>
          <w:i/>
          <w:iCs/>
          <w:color w:val="auto"/>
          <w:sz w:val="20"/>
          <w:szCs w:val="20"/>
          <w:highlight w:val="none"/>
        </w:rPr>
        <w:t xml:space="preserve">Proposal </w:t>
      </w:r>
      <w:r>
        <w:rPr>
          <w:rFonts w:hint="eastAsia" w:ascii="Times New Roman" w:hAnsi="Times New Roman"/>
          <w:b/>
          <w:bCs/>
          <w:i/>
          <w:iCs/>
          <w:color w:val="auto"/>
          <w:sz w:val="20"/>
          <w:szCs w:val="20"/>
          <w:highlight w:val="none"/>
          <w:lang w:val="en-US" w:eastAsia="zh-CN"/>
        </w:rPr>
        <w:t>2</w:t>
      </w:r>
      <w:r>
        <w:rPr>
          <w:rFonts w:hint="eastAsia" w:ascii="Times New Roman" w:hAnsi="Times New Roman"/>
          <w:b/>
          <w:bCs/>
          <w:i/>
          <w:iCs/>
          <w:color w:val="auto"/>
          <w:sz w:val="20"/>
          <w:szCs w:val="20"/>
          <w:highlight w:val="none"/>
        </w:rPr>
        <w:t>:</w:t>
      </w:r>
      <w:r>
        <w:rPr>
          <w:rFonts w:hint="eastAsia" w:ascii="Times New Roman" w:hAnsi="Times New Roman"/>
          <w:i/>
          <w:iCs/>
          <w:color w:val="auto"/>
          <w:sz w:val="20"/>
          <w:szCs w:val="20"/>
          <w:highlight w:val="none"/>
        </w:rPr>
        <w:t xml:space="preserve"> </w:t>
      </w:r>
      <w:r>
        <w:rPr>
          <w:rFonts w:ascii="Times New Roman" w:hAnsi="Times New Roman"/>
          <w:i/>
          <w:iCs/>
          <w:color w:val="auto"/>
          <w:sz w:val="20"/>
          <w:szCs w:val="20"/>
          <w:highlight w:val="none"/>
        </w:rPr>
        <w:t>Support gNB</w:t>
      </w:r>
      <w:r>
        <w:rPr>
          <w:rFonts w:hint="eastAsia" w:ascii="Times New Roman" w:hAnsi="Times New Roman"/>
          <w:i/>
          <w:iCs/>
          <w:color w:val="auto"/>
          <w:sz w:val="20"/>
          <w:szCs w:val="20"/>
          <w:highlight w:val="none"/>
        </w:rPr>
        <w:t xml:space="preserve"> configur</w:t>
      </w:r>
      <w:r>
        <w:rPr>
          <w:rFonts w:ascii="Times New Roman" w:hAnsi="Times New Roman"/>
          <w:i/>
          <w:iCs/>
          <w:color w:val="auto"/>
          <w:sz w:val="20"/>
          <w:szCs w:val="20"/>
          <w:highlight w:val="none"/>
        </w:rPr>
        <w:t>ation</w:t>
      </w:r>
      <w:r>
        <w:rPr>
          <w:rFonts w:hint="eastAsia" w:ascii="Times New Roman" w:hAnsi="Times New Roman"/>
          <w:i/>
          <w:iCs/>
          <w:color w:val="auto"/>
          <w:sz w:val="20"/>
          <w:szCs w:val="20"/>
          <w:highlight w:val="none"/>
        </w:rPr>
        <w:t xml:space="preserve"> </w:t>
      </w:r>
      <w:r>
        <w:rPr>
          <w:rFonts w:ascii="Times New Roman" w:hAnsi="Times New Roman"/>
          <w:i/>
          <w:iCs/>
          <w:color w:val="auto"/>
          <w:sz w:val="20"/>
          <w:szCs w:val="20"/>
          <w:highlight w:val="none"/>
        </w:rPr>
        <w:t xml:space="preserve">of </w:t>
      </w:r>
      <w:r>
        <w:rPr>
          <w:rFonts w:hint="eastAsia" w:ascii="Times New Roman" w:hAnsi="Times New Roman"/>
          <w:i/>
          <w:iCs/>
          <w:color w:val="auto"/>
          <w:sz w:val="20"/>
          <w:szCs w:val="20"/>
          <w:highlight w:val="none"/>
        </w:rPr>
        <w:t>at least the following parameters to UE for NR CQI derivation</w:t>
      </w:r>
    </w:p>
    <w:p>
      <w:pPr>
        <w:numPr>
          <w:ilvl w:val="0"/>
          <w:numId w:val="9"/>
        </w:numPr>
        <w:adjustRightInd w:val="0"/>
        <w:snapToGrid w:val="0"/>
        <w:spacing w:after="0" w:line="240" w:lineRule="auto"/>
        <w:ind w:left="840"/>
        <w:jc w:val="both"/>
        <w:rPr>
          <w:rFonts w:ascii="Times New Roman" w:hAnsi="Times New Roman"/>
          <w:i/>
          <w:iCs/>
          <w:color w:val="auto"/>
          <w:sz w:val="20"/>
          <w:szCs w:val="20"/>
          <w:highlight w:val="none"/>
        </w:rPr>
      </w:pPr>
      <w:r>
        <w:rPr>
          <w:rFonts w:hint="eastAsia" w:ascii="Times New Roman" w:hAnsi="Times New Roman"/>
          <w:i/>
          <w:iCs/>
          <w:color w:val="auto"/>
          <w:sz w:val="20"/>
          <w:szCs w:val="20"/>
          <w:highlight w:val="none"/>
        </w:rPr>
        <w:t>RS pattern</w:t>
      </w:r>
    </w:p>
    <w:p>
      <w:pPr>
        <w:numPr>
          <w:ilvl w:val="0"/>
          <w:numId w:val="9"/>
        </w:numPr>
        <w:adjustRightInd w:val="0"/>
        <w:snapToGrid w:val="0"/>
        <w:spacing w:after="0" w:line="240" w:lineRule="auto"/>
        <w:ind w:left="840"/>
        <w:jc w:val="both"/>
        <w:rPr>
          <w:rFonts w:ascii="Times New Roman" w:hAnsi="Times New Roman"/>
          <w:color w:val="auto"/>
          <w:sz w:val="20"/>
          <w:szCs w:val="20"/>
          <w:highlight w:val="none"/>
        </w:rPr>
      </w:pPr>
      <w:r>
        <w:rPr>
          <w:rFonts w:hint="eastAsia" w:ascii="Times New Roman" w:hAnsi="Times New Roman"/>
          <w:i/>
          <w:iCs/>
          <w:color w:val="auto"/>
          <w:sz w:val="20"/>
          <w:szCs w:val="20"/>
          <w:highlight w:val="none"/>
        </w:rPr>
        <w:t>Number of DL symbols per slot</w:t>
      </w:r>
    </w:p>
    <w:p>
      <w:pPr>
        <w:numPr>
          <w:ilvl w:val="0"/>
          <w:numId w:val="9"/>
        </w:numPr>
        <w:adjustRightInd w:val="0"/>
        <w:snapToGrid w:val="0"/>
        <w:spacing w:after="0" w:line="240" w:lineRule="auto"/>
        <w:ind w:left="840"/>
        <w:jc w:val="both"/>
        <w:rPr>
          <w:b/>
          <w:sz w:val="24"/>
          <w:szCs w:val="24"/>
        </w:rPr>
      </w:pPr>
      <w:r>
        <w:rPr>
          <w:rFonts w:hint="eastAsia" w:ascii="Times New Roman" w:hAnsi="Times New Roman"/>
          <w:i/>
          <w:iCs/>
          <w:color w:val="auto"/>
          <w:sz w:val="20"/>
          <w:szCs w:val="20"/>
          <w:highlight w:val="none"/>
        </w:rPr>
        <w:t>Limited number of combinations of the above parameters are supported for joint configuration</w:t>
      </w:r>
    </w:p>
    <w:p>
      <w:pPr>
        <w:snapToGrid w:val="0"/>
        <w:spacing w:before="120" w:line="240" w:lineRule="auto"/>
        <w:rPr>
          <w:i/>
          <w:szCs w:val="20"/>
        </w:rPr>
      </w:pPr>
      <w:r>
        <w:rPr>
          <w:rFonts w:hint="eastAsia"/>
          <w:b/>
          <w:bCs/>
          <w:i/>
          <w:szCs w:val="20"/>
        </w:rPr>
        <w:t xml:space="preserve">Observation: </w:t>
      </w:r>
      <w:r>
        <w:rPr>
          <w:rFonts w:hint="eastAsia"/>
          <w:i/>
          <w:szCs w:val="20"/>
        </w:rPr>
        <w:t>Partial-subband CSI reporting is</w:t>
      </w:r>
      <w:r>
        <w:rPr>
          <w:i/>
          <w:szCs w:val="20"/>
        </w:rPr>
        <w:t xml:space="preserve"> also</w:t>
      </w:r>
      <w:r>
        <w:rPr>
          <w:rFonts w:hint="eastAsia"/>
          <w:i/>
          <w:szCs w:val="20"/>
        </w:rPr>
        <w:t xml:space="preserve"> a good candidate to support higher rank Type II CSI in NR Phase II.</w:t>
      </w:r>
    </w:p>
    <w:p>
      <w:pPr>
        <w:tabs>
          <w:tab w:val="left" w:pos="720"/>
          <w:tab w:val="left" w:pos="1440"/>
        </w:tabs>
        <w:adjustRightInd w:val="0"/>
        <w:snapToGrid w:val="0"/>
        <w:spacing w:line="240" w:lineRule="auto"/>
        <w:ind w:left="720"/>
        <w:rPr>
          <w:rFonts w:eastAsia="MS Mincho"/>
          <w:i/>
          <w:lang w:eastAsia="ja-JP"/>
        </w:rPr>
      </w:pPr>
    </w:p>
    <w:p>
      <w:pPr>
        <w:numPr>
          <w:ilvl w:val="0"/>
          <w:numId w:val="7"/>
        </w:numPr>
        <w:snapToGrid w:val="0"/>
        <w:spacing w:before="120" w:line="240" w:lineRule="auto"/>
        <w:ind w:left="357" w:hanging="357"/>
        <w:rPr>
          <w:b/>
          <w:sz w:val="24"/>
          <w:szCs w:val="24"/>
        </w:rPr>
      </w:pPr>
      <w:r>
        <w:rPr>
          <w:rFonts w:hint="eastAsia"/>
          <w:b/>
          <w:sz w:val="24"/>
          <w:szCs w:val="24"/>
        </w:rPr>
        <w:t>Reference</w:t>
      </w:r>
      <w:r>
        <w:rPr>
          <w:b/>
          <w:sz w:val="24"/>
          <w:szCs w:val="24"/>
        </w:rPr>
        <w:t>s</w:t>
      </w:r>
      <w:r>
        <w:rPr>
          <w:rFonts w:hint="eastAsia"/>
          <w:b/>
          <w:sz w:val="24"/>
          <w:szCs w:val="24"/>
        </w:rPr>
        <w:t xml:space="preserve"> </w:t>
      </w:r>
    </w:p>
    <w:p>
      <w:pPr>
        <w:pStyle w:val="36"/>
        <w:snapToGrid w:val="0"/>
        <w:rPr>
          <w:rFonts w:ascii="Times New Roman" w:hAnsi="Times New Roman"/>
          <w:sz w:val="20"/>
          <w:szCs w:val="20"/>
        </w:rPr>
      </w:pPr>
      <w:r>
        <w:rPr>
          <w:rFonts w:hint="eastAsia" w:ascii="Times New Roman" w:hAnsi="Times New Roman"/>
          <w:sz w:val="20"/>
          <w:szCs w:val="20"/>
          <w:lang w:val="en-GB"/>
        </w:rPr>
        <w:t xml:space="preserve">[1] </w:t>
      </w:r>
      <w:r>
        <w:rPr>
          <w:rFonts w:hint="eastAsia" w:ascii="Times New Roman" w:hAnsi="Times New Roman"/>
          <w:sz w:val="20"/>
          <w:szCs w:val="20"/>
        </w:rPr>
        <w:t>Chairman</w:t>
      </w:r>
      <w:r>
        <w:rPr>
          <w:rFonts w:ascii="Times New Roman" w:hAnsi="Times New Roman"/>
          <w:sz w:val="20"/>
          <w:szCs w:val="20"/>
        </w:rPr>
        <w:t>’</w:t>
      </w:r>
      <w:r>
        <w:rPr>
          <w:rFonts w:hint="eastAsia" w:ascii="Times New Roman" w:hAnsi="Times New Roman"/>
          <w:sz w:val="20"/>
          <w:szCs w:val="20"/>
        </w:rPr>
        <w:t>s notes, 3GPP RAN1#</w:t>
      </w:r>
      <w:r>
        <w:rPr>
          <w:rFonts w:hint="eastAsia" w:ascii="Times New Roman" w:hAnsi="Times New Roman"/>
          <w:sz w:val="20"/>
          <w:szCs w:val="20"/>
          <w:lang w:val="en-US" w:eastAsia="zh-CN"/>
        </w:rPr>
        <w:t>90bis</w:t>
      </w:r>
      <w:r>
        <w:rPr>
          <w:rFonts w:hint="eastAsia" w:ascii="Times New Roman" w:hAnsi="Times New Roman"/>
          <w:sz w:val="20"/>
          <w:szCs w:val="20"/>
        </w:rPr>
        <w:t>.</w:t>
      </w:r>
    </w:p>
    <w:p>
      <w:pPr>
        <w:pStyle w:val="36"/>
        <w:snapToGrid w:val="0"/>
        <w:rPr>
          <w:rFonts w:ascii="Times New Roman" w:hAnsi="Times New Roman"/>
          <w:sz w:val="20"/>
          <w:szCs w:val="20"/>
        </w:rPr>
      </w:pPr>
      <w:r>
        <w:rPr>
          <w:rFonts w:hint="eastAsia" w:ascii="Times New Roman" w:hAnsi="Times New Roman"/>
          <w:sz w:val="20"/>
          <w:szCs w:val="20"/>
        </w:rPr>
        <w:t xml:space="preserve">[2] R1-1715958, </w:t>
      </w:r>
      <w:r>
        <w:rPr>
          <w:rFonts w:ascii="Times New Roman" w:hAnsi="Times New Roman"/>
          <w:sz w:val="20"/>
          <w:szCs w:val="20"/>
        </w:rPr>
        <w:t>“</w:t>
      </w:r>
      <w:r>
        <w:rPr>
          <w:rFonts w:hint="eastAsia" w:ascii="Times New Roman" w:hAnsi="Times New Roman"/>
          <w:sz w:val="20"/>
          <w:szCs w:val="20"/>
        </w:rPr>
        <w:t>On higher rank Type II CSI</w:t>
      </w:r>
      <w:r>
        <w:rPr>
          <w:rFonts w:ascii="Times New Roman" w:hAnsi="Times New Roman"/>
          <w:sz w:val="20"/>
          <w:szCs w:val="20"/>
        </w:rPr>
        <w:t>”</w:t>
      </w:r>
      <w:r>
        <w:rPr>
          <w:rFonts w:hint="eastAsia" w:ascii="Times New Roman" w:hAnsi="Times New Roman"/>
          <w:sz w:val="20"/>
          <w:szCs w:val="20"/>
        </w:rPr>
        <w:t>, Samsung.</w:t>
      </w:r>
    </w:p>
    <w:p>
      <w:pPr>
        <w:snapToGrid w:val="0"/>
        <w:spacing w:before="120" w:line="240" w:lineRule="auto"/>
        <w:rPr>
          <w:b/>
          <w:sz w:val="24"/>
          <w:szCs w:val="24"/>
        </w:rPr>
      </w:pPr>
      <w:r>
        <w:rPr>
          <w:rFonts w:hint="eastAsia"/>
          <w:b/>
          <w:sz w:val="24"/>
          <w:szCs w:val="24"/>
        </w:rPr>
        <w:t>Appendix</w:t>
      </w:r>
    </w:p>
    <w:tbl>
      <w:tblPr>
        <w:tblStyle w:val="21"/>
        <w:tblW w:w="7605" w:type="dxa"/>
        <w:jc w:val="center"/>
        <w:tblCellSpacing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769"/>
        <w:gridCol w:w="48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0" w:type="dxa"/>
          <w:jc w:val="center"/>
        </w:trPr>
        <w:tc>
          <w:tcPr>
            <w:tcW w:w="7605" w:type="dxa"/>
            <w:gridSpan w:val="2"/>
            <w:shd w:val="clear" w:color="auto" w:fill="D7D7D7" w:themeFill="background1" w:themeFillShade="D8"/>
            <w:vAlign w:val="center"/>
          </w:tcPr>
          <w:p>
            <w:pPr>
              <w:pStyle w:val="12"/>
              <w:keepNext/>
              <w:snapToGrid w:val="0"/>
              <w:rPr>
                <w:b/>
                <w:color w:val="auto"/>
                <w:sz w:val="20"/>
                <w:lang w:val="sv-SE"/>
              </w:rPr>
            </w:pPr>
            <w:r>
              <w:rPr>
                <w:b/>
                <w:color w:val="auto"/>
                <w:sz w:val="20"/>
                <w:lang w:val="sv-SE"/>
              </w:rPr>
              <w:t>System level simulation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0" w:type="dxa"/>
          <w:jc w:val="center"/>
        </w:trPr>
        <w:tc>
          <w:tcPr>
            <w:tcW w:w="2769" w:type="dxa"/>
            <w:vAlign w:val="center"/>
          </w:tcPr>
          <w:p>
            <w:pPr>
              <w:pStyle w:val="12"/>
              <w:keepNext/>
              <w:snapToGrid w:val="0"/>
              <w:rPr>
                <w:color w:val="auto"/>
                <w:sz w:val="20"/>
              </w:rPr>
            </w:pPr>
            <w:r>
              <w:rPr>
                <w:color w:val="auto"/>
                <w:sz w:val="20"/>
              </w:rPr>
              <w:t>Scenarios</w:t>
            </w:r>
          </w:p>
        </w:tc>
        <w:tc>
          <w:tcPr>
            <w:tcW w:w="4836" w:type="dxa"/>
            <w:vAlign w:val="center"/>
          </w:tcPr>
          <w:p>
            <w:pPr>
              <w:pStyle w:val="12"/>
              <w:keepNext/>
              <w:snapToGrid w:val="0"/>
              <w:rPr>
                <w:color w:val="auto"/>
                <w:sz w:val="20"/>
                <w:lang w:val="sv-SE"/>
              </w:rPr>
            </w:pPr>
            <w:r>
              <w:rPr>
                <w:rFonts w:hint="eastAsia"/>
                <w:color w:val="auto"/>
                <w:sz w:val="20"/>
                <w:lang w:val="sv-SE"/>
              </w:rPr>
              <w:t>3D-U</w:t>
            </w:r>
            <w:r>
              <w:rPr>
                <w:color w:val="auto"/>
                <w:sz w:val="20"/>
                <w:lang w:val="sv-SE"/>
              </w:rPr>
              <w:t>m</w:t>
            </w:r>
            <w:r>
              <w:rPr>
                <w:rFonts w:hint="eastAsia"/>
                <w:color w:val="auto"/>
                <w:sz w:val="20"/>
                <w:lang w:val="sv-SE"/>
              </w:rPr>
              <w:t>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0" w:type="dxa"/>
          <w:jc w:val="center"/>
        </w:trPr>
        <w:tc>
          <w:tcPr>
            <w:tcW w:w="2769" w:type="dxa"/>
            <w:vAlign w:val="center"/>
          </w:tcPr>
          <w:p>
            <w:pPr>
              <w:pStyle w:val="12"/>
              <w:keepNext/>
              <w:snapToGrid w:val="0"/>
              <w:rPr>
                <w:color w:val="auto"/>
                <w:sz w:val="20"/>
              </w:rPr>
            </w:pPr>
            <w:r>
              <w:rPr>
                <w:rFonts w:hint="eastAsia"/>
                <w:color w:val="auto"/>
                <w:sz w:val="20"/>
              </w:rPr>
              <w:t>Antenna Spacing</w:t>
            </w:r>
          </w:p>
        </w:tc>
        <w:tc>
          <w:tcPr>
            <w:tcW w:w="4836" w:type="dxa"/>
            <w:vAlign w:val="center"/>
          </w:tcPr>
          <w:p>
            <w:pPr>
              <w:pStyle w:val="12"/>
              <w:keepNext/>
              <w:snapToGrid w:val="0"/>
              <w:rPr>
                <w:color w:val="auto"/>
                <w:sz w:val="20"/>
              </w:rPr>
            </w:pPr>
            <w:r>
              <w:rPr>
                <w:color w:val="auto"/>
                <w:szCs w:val="21"/>
                <w:lang w:val="el-GR"/>
              </w:rPr>
              <w:t>(d</w:t>
            </w:r>
            <w:r>
              <w:rPr>
                <w:color w:val="auto"/>
                <w:sz w:val="16"/>
                <w:szCs w:val="16"/>
                <w:lang w:val="el-GR"/>
              </w:rPr>
              <w:t>V</w:t>
            </w:r>
            <w:r>
              <w:rPr>
                <w:color w:val="auto"/>
                <w:szCs w:val="21"/>
                <w:lang w:val="el-GR"/>
              </w:rPr>
              <w:t>,d</w:t>
            </w:r>
            <w:r>
              <w:rPr>
                <w:color w:val="auto"/>
                <w:sz w:val="16"/>
                <w:szCs w:val="16"/>
                <w:lang w:val="el-GR"/>
              </w:rPr>
              <w:t>H</w:t>
            </w:r>
            <w:r>
              <w:rPr>
                <w:color w:val="auto"/>
                <w:szCs w:val="21"/>
                <w:lang w:val="el-GR"/>
              </w:rPr>
              <w:t>)=(</w:t>
            </w:r>
            <w:r>
              <w:rPr>
                <w:color w:val="auto"/>
                <w:lang w:eastAsia="ko-KR"/>
              </w:rPr>
              <w:t xml:space="preserve"> 0.</w:t>
            </w:r>
            <w:r>
              <w:rPr>
                <w:rFonts w:eastAsia="MS Mincho"/>
                <w:color w:val="auto"/>
                <w:lang w:eastAsia="ja-JP"/>
              </w:rPr>
              <w:t>8</w:t>
            </w:r>
            <w:r>
              <w:rPr>
                <w:color w:val="auto"/>
              </w:rPr>
              <w:t>λ</w:t>
            </w:r>
            <w:r>
              <w:rPr>
                <w:rFonts w:eastAsia="MS Mincho"/>
                <w:color w:val="auto"/>
                <w:lang w:eastAsia="ko-KR"/>
              </w:rPr>
              <w:t>,</w:t>
            </w:r>
            <w:r>
              <w:rPr>
                <w:color w:val="auto"/>
                <w:lang w:eastAsia="ko-KR"/>
              </w:rPr>
              <w:t xml:space="preserve"> 0.</w:t>
            </w:r>
            <w:r>
              <w:rPr>
                <w:color w:val="auto"/>
              </w:rPr>
              <w:t>5λ</w:t>
            </w:r>
            <w:r>
              <w:rPr>
                <w:color w:val="auto"/>
                <w:szCs w:val="21"/>
                <w:lang w:val="el-G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0" w:type="dxa"/>
          <w:jc w:val="center"/>
        </w:trPr>
        <w:tc>
          <w:tcPr>
            <w:tcW w:w="2769" w:type="dxa"/>
            <w:vAlign w:val="center"/>
          </w:tcPr>
          <w:p>
            <w:pPr>
              <w:pStyle w:val="12"/>
              <w:keepNext/>
              <w:snapToGrid w:val="0"/>
              <w:rPr>
                <w:rFonts w:eastAsiaTheme="minorEastAsia"/>
                <w:color w:val="auto"/>
                <w:sz w:val="20"/>
              </w:rPr>
            </w:pPr>
            <w:r>
              <w:rPr>
                <w:rFonts w:hint="eastAsia" w:eastAsiaTheme="minorEastAsia"/>
                <w:color w:val="auto"/>
                <w:sz w:val="20"/>
              </w:rPr>
              <w:t>Number of UE antenna</w:t>
            </w:r>
          </w:p>
        </w:tc>
        <w:tc>
          <w:tcPr>
            <w:tcW w:w="4836" w:type="dxa"/>
            <w:vAlign w:val="center"/>
          </w:tcPr>
          <w:p>
            <w:pPr>
              <w:pStyle w:val="12"/>
              <w:keepNext/>
              <w:snapToGrid w:val="0"/>
              <w:rPr>
                <w:rFonts w:eastAsiaTheme="minorEastAsia"/>
                <w:color w:val="auto"/>
                <w:sz w:val="20"/>
              </w:rPr>
            </w:pPr>
            <w:r>
              <w:rPr>
                <w:rFonts w:hint="eastAsia"/>
                <w:color w:val="auto"/>
                <w:szCs w:val="21"/>
              </w:rPr>
              <w:t xml:space="preserve">2Rx or 4Rx </w:t>
            </w:r>
            <w:r>
              <w:rPr>
                <w:color w:val="auto"/>
                <w:szCs w:val="21"/>
              </w:rPr>
              <w:t>cross-polarized antenna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0" w:type="dxa"/>
          <w:jc w:val="center"/>
        </w:trPr>
        <w:tc>
          <w:tcPr>
            <w:tcW w:w="2769" w:type="dxa"/>
            <w:vAlign w:val="center"/>
          </w:tcPr>
          <w:p>
            <w:pPr>
              <w:pStyle w:val="12"/>
              <w:keepNext/>
              <w:snapToGrid w:val="0"/>
              <w:rPr>
                <w:color w:val="auto"/>
                <w:sz w:val="20"/>
              </w:rPr>
            </w:pPr>
            <w:r>
              <w:rPr>
                <w:color w:val="auto"/>
                <w:sz w:val="20"/>
              </w:rPr>
              <w:t>Traffic model</w:t>
            </w:r>
          </w:p>
        </w:tc>
        <w:tc>
          <w:tcPr>
            <w:tcW w:w="4836" w:type="dxa"/>
            <w:vAlign w:val="center"/>
          </w:tcPr>
          <w:p>
            <w:pPr>
              <w:pStyle w:val="12"/>
              <w:keepNext/>
              <w:snapToGrid w:val="0"/>
              <w:rPr>
                <w:rFonts w:eastAsiaTheme="minorEastAsia"/>
                <w:color w:val="auto"/>
                <w:sz w:val="20"/>
                <w:lang w:val="sv-SE"/>
              </w:rPr>
            </w:pPr>
            <w:r>
              <w:rPr>
                <w:rFonts w:hint="eastAsia" w:eastAsiaTheme="minorEastAsia"/>
                <w:color w:val="auto"/>
                <w:sz w:val="20"/>
                <w:lang w:val="sv-SE"/>
              </w:rPr>
              <w:t>FTP 1 with packet size 0.5M byte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0" w:type="dxa"/>
          <w:jc w:val="center"/>
        </w:trPr>
        <w:tc>
          <w:tcPr>
            <w:tcW w:w="2769" w:type="dxa"/>
            <w:vAlign w:val="center"/>
          </w:tcPr>
          <w:p>
            <w:pPr>
              <w:pStyle w:val="12"/>
              <w:keepNext/>
              <w:snapToGrid w:val="0"/>
              <w:rPr>
                <w:color w:val="auto"/>
                <w:sz w:val="20"/>
              </w:rPr>
            </w:pPr>
            <w:r>
              <w:rPr>
                <w:rFonts w:hint="eastAsia"/>
                <w:color w:val="auto"/>
                <w:sz w:val="20"/>
              </w:rPr>
              <w:t>OLLA</w:t>
            </w:r>
          </w:p>
        </w:tc>
        <w:tc>
          <w:tcPr>
            <w:tcW w:w="4836" w:type="dxa"/>
            <w:vAlign w:val="center"/>
          </w:tcPr>
          <w:p>
            <w:pPr>
              <w:pStyle w:val="12"/>
              <w:keepNext/>
              <w:snapToGrid w:val="0"/>
              <w:rPr>
                <w:rFonts w:eastAsiaTheme="minorEastAsia"/>
                <w:color w:val="auto"/>
                <w:sz w:val="20"/>
                <w:lang w:val="sv-SE"/>
              </w:rPr>
            </w:pPr>
            <w:r>
              <w:rPr>
                <w:rFonts w:hint="eastAsia" w:eastAsiaTheme="minorEastAsia"/>
                <w:color w:val="auto"/>
                <w:sz w:val="20"/>
                <w:lang w:val="sv-SE"/>
              </w:rPr>
              <w:t>Target at 10% BLER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0" w:type="dxa"/>
          <w:jc w:val="center"/>
        </w:trPr>
        <w:tc>
          <w:tcPr>
            <w:tcW w:w="2769" w:type="dxa"/>
            <w:vAlign w:val="center"/>
          </w:tcPr>
          <w:p>
            <w:pPr>
              <w:pStyle w:val="12"/>
              <w:keepNext/>
              <w:snapToGrid w:val="0"/>
              <w:rPr>
                <w:color w:val="auto"/>
                <w:sz w:val="20"/>
              </w:rPr>
            </w:pPr>
            <w:r>
              <w:rPr>
                <w:color w:val="auto"/>
                <w:sz w:val="20"/>
              </w:rPr>
              <w:t>CSI-RS</w:t>
            </w:r>
          </w:p>
        </w:tc>
        <w:tc>
          <w:tcPr>
            <w:tcW w:w="4836" w:type="dxa"/>
            <w:vAlign w:val="center"/>
          </w:tcPr>
          <w:p>
            <w:pPr>
              <w:pStyle w:val="12"/>
              <w:keepNext/>
              <w:snapToGrid w:val="0"/>
              <w:rPr>
                <w:color w:val="auto"/>
                <w:sz w:val="20"/>
              </w:rPr>
            </w:pPr>
            <w:r>
              <w:rPr>
                <w:rFonts w:hint="eastAsia"/>
                <w:color w:val="auto"/>
                <w:sz w:val="20"/>
              </w:rPr>
              <w:t>Period is 5 ms and o</w:t>
            </w:r>
            <w:r>
              <w:rPr>
                <w:color w:val="auto"/>
                <w:sz w:val="20"/>
              </w:rPr>
              <w:t xml:space="preserve">verhead </w:t>
            </w:r>
            <w:r>
              <w:rPr>
                <w:rFonts w:hint="eastAsia" w:eastAsiaTheme="minorEastAsia"/>
                <w:color w:val="auto"/>
                <w:sz w:val="20"/>
              </w:rPr>
              <w:t xml:space="preserve">is </w:t>
            </w:r>
            <w:r>
              <w:rPr>
                <w:color w:val="auto"/>
                <w:sz w:val="20"/>
              </w:rPr>
              <w:t xml:space="preserve">accounted.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0" w:type="dxa"/>
          <w:jc w:val="center"/>
        </w:trPr>
        <w:tc>
          <w:tcPr>
            <w:tcW w:w="2769" w:type="dxa"/>
            <w:vAlign w:val="center"/>
          </w:tcPr>
          <w:p>
            <w:pPr>
              <w:pStyle w:val="12"/>
              <w:keepNext/>
              <w:snapToGrid w:val="0"/>
              <w:rPr>
                <w:rFonts w:eastAsiaTheme="minorEastAsia"/>
                <w:color w:val="auto"/>
                <w:sz w:val="20"/>
              </w:rPr>
            </w:pPr>
            <w:r>
              <w:rPr>
                <w:rFonts w:hint="eastAsia" w:eastAsiaTheme="minorEastAsia"/>
                <w:color w:val="auto"/>
                <w:sz w:val="20"/>
              </w:rPr>
              <w:t>Transmission rank</w:t>
            </w:r>
          </w:p>
        </w:tc>
        <w:tc>
          <w:tcPr>
            <w:tcW w:w="4836" w:type="dxa"/>
            <w:vAlign w:val="center"/>
          </w:tcPr>
          <w:p>
            <w:pPr>
              <w:pStyle w:val="12"/>
              <w:keepNext/>
              <w:snapToGrid w:val="0"/>
              <w:rPr>
                <w:rFonts w:eastAsiaTheme="minorEastAsia"/>
                <w:color w:val="auto"/>
                <w:sz w:val="20"/>
              </w:rPr>
            </w:pPr>
            <w:r>
              <w:rPr>
                <w:color w:val="auto"/>
              </w:rPr>
              <w:t>Adaptation between rank</w:t>
            </w:r>
            <w:r>
              <w:rPr>
                <w:rFonts w:hint="eastAsia"/>
                <w:color w:val="auto"/>
              </w:rPr>
              <w:t xml:space="preserve"> </w:t>
            </w:r>
            <w:r>
              <w:rPr>
                <w:rFonts w:eastAsiaTheme="minorEastAsia"/>
                <w:color w:val="auto"/>
                <w:sz w:val="20"/>
              </w:rPr>
              <w:t>1</w:t>
            </w:r>
            <w:r>
              <w:rPr>
                <w:rFonts w:hint="eastAsia" w:eastAsiaTheme="minorEastAsia"/>
                <w:color w:val="auto"/>
                <w:sz w:val="20"/>
              </w:rPr>
              <w:t>~2 or rank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0" w:type="dxa"/>
          <w:jc w:val="center"/>
        </w:trPr>
        <w:tc>
          <w:tcPr>
            <w:tcW w:w="2769" w:type="dxa"/>
            <w:vAlign w:val="center"/>
          </w:tcPr>
          <w:p>
            <w:pPr>
              <w:pStyle w:val="12"/>
              <w:keepNext/>
              <w:snapToGrid w:val="0"/>
              <w:rPr>
                <w:color w:val="auto"/>
                <w:sz w:val="20"/>
              </w:rPr>
            </w:pPr>
            <w:r>
              <w:rPr>
                <w:rFonts w:eastAsia="Arial"/>
                <w:bCs/>
                <w:color w:val="auto"/>
                <w:kern w:val="24"/>
                <w:sz w:val="20"/>
                <w:lang w:eastAsia="zh-TW"/>
              </w:rPr>
              <w:t>SU/MU pre-coding</w:t>
            </w:r>
          </w:p>
        </w:tc>
        <w:tc>
          <w:tcPr>
            <w:tcW w:w="4836" w:type="dxa"/>
            <w:vAlign w:val="center"/>
          </w:tcPr>
          <w:p>
            <w:pPr>
              <w:pStyle w:val="12"/>
              <w:keepNext/>
              <w:snapToGrid w:val="0"/>
              <w:rPr>
                <w:rFonts w:eastAsiaTheme="minorEastAsia"/>
                <w:color w:val="auto"/>
                <w:sz w:val="20"/>
              </w:rPr>
            </w:pPr>
            <w:r>
              <w:rPr>
                <w:rFonts w:hint="eastAsia" w:eastAsiaTheme="minorEastAsia"/>
                <w:color w:val="auto"/>
                <w:sz w:val="20"/>
              </w:rPr>
              <w: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0" w:type="dxa"/>
          <w:jc w:val="center"/>
        </w:trPr>
        <w:tc>
          <w:tcPr>
            <w:tcW w:w="2769" w:type="dxa"/>
            <w:vAlign w:val="center"/>
          </w:tcPr>
          <w:p>
            <w:pPr>
              <w:pStyle w:val="12"/>
              <w:keepNext/>
              <w:snapToGrid w:val="0"/>
              <w:rPr>
                <w:rFonts w:eastAsiaTheme="minorEastAsia"/>
                <w:bCs/>
                <w:color w:val="auto"/>
                <w:kern w:val="24"/>
                <w:sz w:val="20"/>
              </w:rPr>
            </w:pPr>
            <w:r>
              <w:rPr>
                <w:rFonts w:hint="eastAsia" w:eastAsiaTheme="minorEastAsia"/>
                <w:bCs/>
                <w:color w:val="auto"/>
                <w:kern w:val="24"/>
                <w:sz w:val="20"/>
              </w:rPr>
              <w:t>Scheduling</w:t>
            </w:r>
          </w:p>
        </w:tc>
        <w:tc>
          <w:tcPr>
            <w:tcW w:w="4836" w:type="dxa"/>
            <w:vAlign w:val="center"/>
          </w:tcPr>
          <w:p>
            <w:pPr>
              <w:pStyle w:val="12"/>
              <w:keepNext/>
              <w:snapToGrid w:val="0"/>
              <w:rPr>
                <w:rFonts w:eastAsiaTheme="minorEastAsia"/>
                <w:color w:val="auto"/>
                <w:kern w:val="24"/>
                <w:sz w:val="20"/>
              </w:rPr>
            </w:pPr>
            <w:r>
              <w:rPr>
                <w:rFonts w:hint="eastAsia" w:eastAsiaTheme="minorEastAsia"/>
                <w:color w:val="auto"/>
                <w:kern w:val="24"/>
                <w:sz w:val="20"/>
              </w:rPr>
              <w:t xml:space="preserve">MU, </w:t>
            </w:r>
            <w:r>
              <w:rPr>
                <w:rFonts w:eastAsia="Arial"/>
                <w:color w:val="auto"/>
                <w:kern w:val="24"/>
                <w:sz w:val="20"/>
                <w:lang w:eastAsia="zh-TW"/>
              </w:rPr>
              <w:t>Proportional fair</w:t>
            </w:r>
            <w:r>
              <w:rPr>
                <w:rFonts w:eastAsiaTheme="minorEastAsia"/>
                <w:color w:val="auto"/>
                <w:kern w:val="24"/>
                <w:sz w:val="20"/>
              </w:rPr>
              <w:t xml:space="preserve">, </w:t>
            </w:r>
            <w:r>
              <w:rPr>
                <w:rFonts w:hint="eastAsia" w:eastAsiaTheme="minorEastAsia"/>
                <w:color w:val="auto"/>
                <w:kern w:val="24"/>
                <w:sz w:val="20"/>
              </w:rPr>
              <w:t xml:space="preserve">2 </w:t>
            </w:r>
            <w:r>
              <w:rPr>
                <w:rFonts w:eastAsiaTheme="minorEastAsia"/>
                <w:color w:val="auto"/>
                <w:kern w:val="24"/>
                <w:sz w:val="20"/>
              </w:rPr>
              <w:t xml:space="preserve">UEs, </w:t>
            </w:r>
            <w:r>
              <w:rPr>
                <w:rFonts w:hint="eastAsia" w:eastAsiaTheme="minorEastAsia"/>
                <w:color w:val="auto"/>
                <w:kern w:val="24"/>
                <w:sz w:val="20"/>
              </w:rPr>
              <w:t>at most 4</w:t>
            </w:r>
            <w:r>
              <w:rPr>
                <w:rFonts w:eastAsiaTheme="minorEastAsia"/>
                <w:color w:val="auto"/>
                <w:kern w:val="24"/>
                <w:sz w:val="20"/>
              </w:rPr>
              <w:t>layers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0" w:type="dxa"/>
          <w:jc w:val="center"/>
        </w:trPr>
        <w:tc>
          <w:tcPr>
            <w:tcW w:w="2769" w:type="dxa"/>
            <w:vAlign w:val="center"/>
          </w:tcPr>
          <w:p>
            <w:pPr>
              <w:pStyle w:val="12"/>
              <w:keepNext/>
              <w:snapToGrid w:val="0"/>
              <w:rPr>
                <w:rFonts w:eastAsiaTheme="minorEastAsia"/>
                <w:bCs/>
                <w:color w:val="auto"/>
                <w:kern w:val="24"/>
                <w:sz w:val="20"/>
              </w:rPr>
            </w:pPr>
            <w:r>
              <w:rPr>
                <w:color w:val="auto"/>
                <w:szCs w:val="21"/>
              </w:rPr>
              <w:t>CQI/PMI reporting interval and frequency granularity</w:t>
            </w:r>
          </w:p>
        </w:tc>
        <w:tc>
          <w:tcPr>
            <w:tcW w:w="4836" w:type="dxa"/>
            <w:vAlign w:val="center"/>
          </w:tcPr>
          <w:p>
            <w:pPr>
              <w:pStyle w:val="12"/>
              <w:keepNext/>
              <w:snapToGrid w:val="0"/>
              <w:rPr>
                <w:rFonts w:eastAsia="Arial"/>
                <w:color w:val="auto"/>
                <w:kern w:val="24"/>
                <w:sz w:val="20"/>
                <w:lang w:eastAsia="zh-TW"/>
              </w:rPr>
            </w:pPr>
            <w:r>
              <w:rPr>
                <w:color w:val="auto"/>
                <w:szCs w:val="21"/>
              </w:rPr>
              <w:t>5ms for CSI, 6RB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0" w:type="dxa"/>
          <w:jc w:val="center"/>
        </w:trPr>
        <w:tc>
          <w:tcPr>
            <w:tcW w:w="2769" w:type="dxa"/>
            <w:vAlign w:val="center"/>
          </w:tcPr>
          <w:p>
            <w:pPr>
              <w:pStyle w:val="12"/>
              <w:keepNext/>
              <w:snapToGrid w:val="0"/>
              <w:rPr>
                <w:rFonts w:eastAsiaTheme="minorEastAsia"/>
                <w:bCs/>
                <w:color w:val="auto"/>
                <w:kern w:val="24"/>
                <w:sz w:val="20"/>
              </w:rPr>
            </w:pPr>
            <w:r>
              <w:rPr>
                <w:color w:val="auto"/>
                <w:szCs w:val="21"/>
              </w:rPr>
              <w:t>Feedback scheme</w:t>
            </w:r>
          </w:p>
        </w:tc>
        <w:tc>
          <w:tcPr>
            <w:tcW w:w="4836" w:type="dxa"/>
            <w:vAlign w:val="center"/>
          </w:tcPr>
          <w:p>
            <w:pPr>
              <w:snapToGrid w:val="0"/>
              <w:spacing w:line="240" w:lineRule="auto"/>
              <w:rPr>
                <w:sz w:val="21"/>
                <w:szCs w:val="21"/>
              </w:rPr>
            </w:pPr>
            <w:r>
              <w:rPr>
                <w:sz w:val="21"/>
                <w:szCs w:val="21"/>
              </w:rPr>
              <w:t>PUSCH</w:t>
            </w:r>
            <w:r>
              <w:rPr>
                <w:rFonts w:hint="eastAsia"/>
                <w:sz w:val="21"/>
                <w:szCs w:val="21"/>
              </w:rPr>
              <w:t xml:space="preserve"> Feedback</w:t>
            </w:r>
            <w:r>
              <w:rPr>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0" w:type="dxa"/>
          <w:jc w:val="center"/>
        </w:trPr>
        <w:tc>
          <w:tcPr>
            <w:tcW w:w="2769" w:type="dxa"/>
            <w:vAlign w:val="center"/>
          </w:tcPr>
          <w:p>
            <w:pPr>
              <w:pStyle w:val="12"/>
              <w:keepNext/>
              <w:snapToGrid w:val="0"/>
              <w:rPr>
                <w:rFonts w:eastAsiaTheme="minorEastAsia"/>
                <w:bCs/>
                <w:color w:val="auto"/>
                <w:kern w:val="24"/>
                <w:sz w:val="20"/>
              </w:rPr>
            </w:pPr>
            <w:r>
              <w:rPr>
                <w:color w:val="auto"/>
                <w:szCs w:val="21"/>
              </w:rPr>
              <w:t>Delay for scheduling and AMC</w:t>
            </w:r>
          </w:p>
        </w:tc>
        <w:tc>
          <w:tcPr>
            <w:tcW w:w="4836" w:type="dxa"/>
            <w:vAlign w:val="center"/>
          </w:tcPr>
          <w:p>
            <w:pPr>
              <w:pStyle w:val="12"/>
              <w:keepNext/>
              <w:snapToGrid w:val="0"/>
              <w:rPr>
                <w:rFonts w:eastAsia="Arial"/>
                <w:color w:val="auto"/>
                <w:kern w:val="24"/>
                <w:sz w:val="20"/>
                <w:lang w:eastAsia="zh-TW"/>
              </w:rPr>
            </w:pPr>
            <w:r>
              <w:rPr>
                <w:color w:val="auto"/>
                <w:szCs w:val="21"/>
              </w:rPr>
              <w:t>6ms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0" w:type="dxa"/>
          <w:jc w:val="center"/>
        </w:trPr>
        <w:tc>
          <w:tcPr>
            <w:tcW w:w="2769" w:type="dxa"/>
            <w:vAlign w:val="center"/>
          </w:tcPr>
          <w:p>
            <w:pPr>
              <w:pStyle w:val="12"/>
              <w:keepNext/>
              <w:snapToGrid w:val="0"/>
              <w:rPr>
                <w:color w:val="auto"/>
                <w:szCs w:val="21"/>
              </w:rPr>
            </w:pPr>
            <w:r>
              <w:rPr>
                <w:color w:val="auto"/>
                <w:szCs w:val="21"/>
              </w:rPr>
              <w:t>Receiver</w:t>
            </w:r>
          </w:p>
        </w:tc>
        <w:tc>
          <w:tcPr>
            <w:tcW w:w="4836" w:type="dxa"/>
            <w:vAlign w:val="center"/>
          </w:tcPr>
          <w:p>
            <w:pPr>
              <w:pStyle w:val="85"/>
              <w:snapToGrid w:val="0"/>
              <w:ind w:firstLine="0" w:firstLineChars="0"/>
              <w:rPr>
                <w:szCs w:val="20"/>
              </w:rPr>
            </w:pPr>
            <w:r>
              <w:rPr>
                <w:szCs w:val="20"/>
              </w:rPr>
              <w:t>MMSE-IRC</w:t>
            </w:r>
            <w:r>
              <w:rPr>
                <w:rFonts w:hint="eastAsia"/>
                <w:szCs w:val="20"/>
              </w:rPr>
              <w:t xml:space="preserve">. </w:t>
            </w:r>
            <w:r>
              <w:rPr>
                <w:szCs w:val="20"/>
              </w:rPr>
              <w:t>With non-ideal interference covariance matrix estimation by using complex Wishart distribution with 12 degrees of freedom (Model in TR36.829 with DMRS based sample covariance matrix)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0" w:type="dxa"/>
          <w:jc w:val="center"/>
        </w:trPr>
        <w:tc>
          <w:tcPr>
            <w:tcW w:w="2769" w:type="dxa"/>
            <w:vAlign w:val="center"/>
          </w:tcPr>
          <w:p>
            <w:pPr>
              <w:pStyle w:val="12"/>
              <w:keepNext/>
              <w:snapToGrid w:val="0"/>
              <w:rPr>
                <w:color w:val="auto"/>
                <w:szCs w:val="21"/>
              </w:rPr>
            </w:pPr>
            <w:r>
              <w:rPr>
                <w:color w:val="auto"/>
                <w:szCs w:val="21"/>
              </w:rPr>
              <w:t>HARQ Scheme</w:t>
            </w:r>
          </w:p>
        </w:tc>
        <w:tc>
          <w:tcPr>
            <w:tcW w:w="4836" w:type="dxa"/>
            <w:vAlign w:val="center"/>
          </w:tcPr>
          <w:p>
            <w:pPr>
              <w:pStyle w:val="12"/>
              <w:keepNext/>
              <w:snapToGrid w:val="0"/>
              <w:rPr>
                <w:color w:val="auto"/>
                <w:szCs w:val="21"/>
              </w:rPr>
            </w:pPr>
            <w:r>
              <w:rPr>
                <w:color w:val="auto"/>
                <w:szCs w:val="21"/>
              </w:rPr>
              <w:t>Chase Combining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0" w:type="dxa"/>
          <w:jc w:val="center"/>
        </w:trPr>
        <w:tc>
          <w:tcPr>
            <w:tcW w:w="2769" w:type="dxa"/>
            <w:vAlign w:val="center"/>
          </w:tcPr>
          <w:p>
            <w:pPr>
              <w:pStyle w:val="12"/>
              <w:keepNext/>
              <w:snapToGrid w:val="0"/>
              <w:rPr>
                <w:color w:val="auto"/>
                <w:szCs w:val="21"/>
              </w:rPr>
            </w:pPr>
            <w:r>
              <w:rPr>
                <w:color w:val="auto"/>
                <w:szCs w:val="21"/>
              </w:rPr>
              <w:t>Maximum</w:t>
            </w:r>
            <w:r>
              <w:rPr>
                <w:rFonts w:hint="eastAsia"/>
                <w:color w:val="auto"/>
                <w:szCs w:val="21"/>
              </w:rPr>
              <w:t xml:space="preserve"> </w:t>
            </w:r>
            <w:r>
              <w:rPr>
                <w:color w:val="auto"/>
                <w:szCs w:val="21"/>
              </w:rPr>
              <w:t>number of retransmissions</w:t>
            </w:r>
          </w:p>
        </w:tc>
        <w:tc>
          <w:tcPr>
            <w:tcW w:w="4836" w:type="dxa"/>
            <w:vAlign w:val="center"/>
          </w:tcPr>
          <w:p>
            <w:pPr>
              <w:pStyle w:val="12"/>
              <w:keepNext/>
              <w:snapToGrid w:val="0"/>
              <w:rPr>
                <w:color w:val="auto"/>
                <w:szCs w:val="21"/>
              </w:rPr>
            </w:pPr>
            <w:r>
              <w:rPr>
                <w:color w:val="auto"/>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0" w:type="dxa"/>
          <w:jc w:val="center"/>
        </w:trPr>
        <w:tc>
          <w:tcPr>
            <w:tcW w:w="2769" w:type="dxa"/>
            <w:vAlign w:val="center"/>
          </w:tcPr>
          <w:p>
            <w:pPr>
              <w:pStyle w:val="12"/>
              <w:keepNext/>
              <w:snapToGrid w:val="0"/>
              <w:rPr>
                <w:color w:val="auto"/>
                <w:szCs w:val="21"/>
              </w:rPr>
            </w:pPr>
            <w:r>
              <w:rPr>
                <w:color w:val="auto"/>
                <w:szCs w:val="21"/>
              </w:rPr>
              <w:t>Feedback Assumption</w:t>
            </w:r>
          </w:p>
        </w:tc>
        <w:tc>
          <w:tcPr>
            <w:tcW w:w="4836" w:type="dxa"/>
            <w:vAlign w:val="center"/>
          </w:tcPr>
          <w:p>
            <w:pPr>
              <w:pStyle w:val="85"/>
              <w:snapToGrid w:val="0"/>
              <w:ind w:firstLine="0" w:firstLineChars="0"/>
              <w:rPr>
                <w:szCs w:val="20"/>
              </w:rPr>
            </w:pPr>
            <w:r>
              <w:rPr>
                <w:szCs w:val="20"/>
              </w:rPr>
              <w:t xml:space="preserve">Non-ideal modeling of channel estimation error modeling </w:t>
            </w:r>
            <w:r>
              <w:rPr>
                <w:position w:val="-14"/>
                <w:szCs w:val="20"/>
              </w:rPr>
              <w:object>
                <v:shape id="_x0000_i1028" o:spt="75" type="#_x0000_t75" style="height:16pt;width:61.35pt;" o:ole="t" filled="f" o:preferrelative="t" stroked="f" coordsize="21600,21600">
                  <v:path/>
                  <v:fill on="f" focussize="0,0"/>
                  <v:stroke on="f" joinstyle="miter"/>
                  <v:imagedata r:id="rId11" o:title=""/>
                  <o:lock v:ext="edit" aspectratio="t"/>
                  <w10:wrap type="none"/>
                  <w10:anchorlock/>
                </v:shape>
                <o:OLEObject Type="Embed" ProgID="Equation.DSMT4" ShapeID="_x0000_i1028" DrawAspect="Content" ObjectID="_1468075728" r:id="rId10">
                  <o:LockedField>false</o:LockedField>
                </o:OLEObject>
              </w:object>
            </w:r>
            <w:r>
              <w:rPr>
                <w:szCs w:val="20"/>
              </w:rPr>
              <w:t xml:space="preserve">is used, </w:t>
            </w:r>
            <w:r>
              <w:rPr>
                <w:rFonts w:eastAsia="Times"/>
                <w:bCs/>
                <w:szCs w:val="20"/>
              </w:rPr>
              <w:t>based on DMRS for data demodulation</w:t>
            </w:r>
            <w:r>
              <w:rPr>
                <w:bCs/>
                <w:szCs w:val="20"/>
              </w:rPr>
              <w:t xml:space="preserve">, </w:t>
            </w:r>
            <w:r>
              <w:rPr>
                <w:rFonts w:eastAsia="Times"/>
                <w:bCs/>
                <w:szCs w:val="20"/>
              </w:rPr>
              <w:t xml:space="preserve">based on IMR for </w:t>
            </w:r>
            <w:r>
              <w:rPr>
                <w:bCs/>
                <w:szCs w:val="20"/>
              </w:rPr>
              <w:t>i</w:t>
            </w:r>
            <w:r>
              <w:rPr>
                <w:rFonts w:eastAsia="Times"/>
                <w:bCs/>
                <w:szCs w:val="20"/>
              </w:rPr>
              <w:t>nterference</w:t>
            </w:r>
            <w:r>
              <w:rPr>
                <w:bCs/>
                <w:szCs w:val="20"/>
              </w:rPr>
              <w:t xml:space="preserve">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0" w:type="dxa"/>
          <w:jc w:val="center"/>
        </w:trPr>
        <w:tc>
          <w:tcPr>
            <w:tcW w:w="2769" w:type="dxa"/>
            <w:vAlign w:val="center"/>
          </w:tcPr>
          <w:p>
            <w:pPr>
              <w:pStyle w:val="12"/>
              <w:keepNext/>
              <w:snapToGrid w:val="0"/>
              <w:rPr>
                <w:color w:val="auto"/>
                <w:szCs w:val="21"/>
              </w:rPr>
            </w:pPr>
            <w:r>
              <w:rPr>
                <w:color w:val="auto"/>
                <w:szCs w:val="21"/>
              </w:rPr>
              <w:t xml:space="preserve">Handover margin </w:t>
            </w:r>
          </w:p>
        </w:tc>
        <w:tc>
          <w:tcPr>
            <w:tcW w:w="4836" w:type="dxa"/>
            <w:vAlign w:val="center"/>
          </w:tcPr>
          <w:p>
            <w:pPr>
              <w:pStyle w:val="12"/>
              <w:keepNext/>
              <w:snapToGrid w:val="0"/>
              <w:rPr>
                <w:color w:val="auto"/>
                <w:szCs w:val="21"/>
              </w:rPr>
            </w:pPr>
            <w:r>
              <w:rPr>
                <w:color w:val="auto"/>
                <w:szCs w:val="21"/>
              </w:rPr>
              <w:t xml:space="preserve">3dB </w:t>
            </w:r>
          </w:p>
        </w:tc>
      </w:tr>
    </w:tbl>
    <w:p>
      <w:pPr>
        <w:pStyle w:val="36"/>
        <w:snapToGrid w:val="0"/>
        <w:rPr>
          <w:rFonts w:ascii="Times New Roman" w:hAnsi="Times New Roman"/>
          <w:sz w:val="20"/>
          <w:szCs w:val="20"/>
          <w:lang w:val="en-GB"/>
        </w:rPr>
      </w:pPr>
    </w:p>
    <w:sectPr>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ourier New">
    <w:panose1 w:val="02070309020205020404"/>
    <w:charset w:val="00"/>
    <w:family w:val="auto"/>
    <w:pitch w:val="default"/>
    <w:sig w:usb0="E0002AFF" w:usb1="C0007843" w:usb2="00000009" w:usb3="00000000" w:csb0="400001FF" w:csb1="FFFF0000"/>
  </w:font>
  <w:font w:name="Arial">
    <w:panose1 w:val="020B0604020202020204"/>
    <w:charset w:val="00"/>
    <w:family w:val="auto"/>
    <w:pitch w:val="default"/>
    <w:sig w:usb0="E0002AFF" w:usb1="C0007843" w:usb2="00000009" w:usb3="00000000" w:csb0="400001FF" w:csb1="FFFF0000"/>
  </w:font>
  <w:font w:name="Tahoma">
    <w:panose1 w:val="020B0604030504040204"/>
    <w:charset w:val="00"/>
    <w:family w:val="auto"/>
    <w:pitch w:val="default"/>
    <w:sig w:usb0="E1002EFF" w:usb1="C000605B" w:usb2="00000029" w:usb3="00000000" w:csb0="200101FF" w:csb1="20280000"/>
  </w:font>
  <w:font w:name="MS Mincho">
    <w:panose1 w:val="02020609040205080304"/>
    <w:charset w:val="80"/>
    <w:family w:val="auto"/>
    <w:pitch w:val="default"/>
    <w:sig w:usb0="E00002FF" w:usb1="6AC7FDFB" w:usb2="00000012" w:usb3="00000000" w:csb0="4002009F" w:csb1="DFD70000"/>
  </w:font>
  <w:font w:name="Malgun Gothic">
    <w:panose1 w:val="020B0503020000020004"/>
    <w:charset w:val="81"/>
    <w:family w:val="auto"/>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 w:name="Verdana">
    <w:panose1 w:val="020B0604030504040204"/>
    <w:charset w:val="00"/>
    <w:family w:val="auto"/>
    <w:pitch w:val="default"/>
    <w:sig w:usb0="A10006FF" w:usb1="4000205B" w:usb2="00000010" w:usb3="00000000" w:csb0="2000019F" w:csb1="00000000"/>
  </w:font>
  <w:font w:name="Times">
    <w:altName w:val="Times New Roman"/>
    <w:panose1 w:val="02000500000000000000"/>
    <w:charset w:val="00"/>
    <w:family w:val="auto"/>
    <w:pitch w:val="default"/>
    <w:sig w:usb0="00000000"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ZapfDingbats">
    <w:altName w:val="Segoe Print"/>
    <w:panose1 w:val="00000000000000000000"/>
    <w:charset w:val="02"/>
    <w:family w:val="decorative"/>
    <w:pitch w:val="default"/>
    <w:sig w:usb0="00000000" w:usb1="00000000" w:usb2="00000000" w:usb3="00000000" w:csb0="80000000" w:csb1="00000000"/>
  </w:font>
  <w:font w:name="OpenSymbol">
    <w:altName w:val="MS Mincho"/>
    <w:panose1 w:val="00000000000000000000"/>
    <w:charset w:val="80"/>
    <w:family w:val="auto"/>
    <w:pitch w:val="default"/>
    <w:sig w:usb0="00000000" w:usb1="00000000" w:usb2="00000010" w:usb3="00000000" w:csb0="00020000" w:csb1="00000000"/>
  </w:font>
  <w:font w:name="MS Gothic">
    <w:panose1 w:val="020B0609070205080204"/>
    <w:charset w:val="80"/>
    <w:family w:val="modern"/>
    <w:pitch w:val="default"/>
    <w:sig w:usb0="E00002FF" w:usb1="6AC7FDFB" w:usb2="00000012" w:usb3="00000000" w:csb0="4002009F" w:csb1="DFD70000"/>
  </w:font>
  <w:font w:name="Helvetica">
    <w:altName w:val="Arial"/>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default"/>
    <w:sig w:usb0="E00002FF" w:usb1="6AC7FDFB" w:usb2="00000012" w:usb3="00000000" w:csb0="4002009F" w:csb1="DFD70000"/>
  </w:font>
  <w:font w:name="Yu Mincho">
    <w:altName w:val="MS PMincho"/>
    <w:panose1 w:val="00000000000000000000"/>
    <w:charset w:val="80"/>
    <w:family w:val="roman"/>
    <w:pitch w:val="default"/>
    <w:sig w:usb0="00000000" w:usb1="00000000" w:usb2="00000012" w:usb3="00000000" w:csb0="0002009F" w:csb1="00000000"/>
  </w:font>
  <w:font w:name="Segoe Print">
    <w:panose1 w:val="02000600000000000000"/>
    <w:charset w:val="00"/>
    <w:family w:val="auto"/>
    <w:pitch w:val="default"/>
    <w:sig w:usb0="0000028F" w:usb1="00000000" w:usb2="00000000" w:usb3="00000000" w:csb0="2000009F" w:csb1="47010000"/>
  </w:font>
  <w:font w:name="MS PMincho">
    <w:panose1 w:val="02020600040205080304"/>
    <w:charset w:val="80"/>
    <w:family w:val="auto"/>
    <w:pitch w:val="default"/>
    <w:sig w:usb0="E00002FF" w:usb1="6AC7FDFB" w:usb2="00000012" w:usb3="00000000" w:csb0="4002009F" w:csb1="DFD70000"/>
  </w:font>
  <w:font w:name="Wingdings">
    <w:panose1 w:val="05000000000000000000"/>
    <w:charset w:val="00"/>
    <w:family w:val="auto"/>
    <w:pitch w:val="default"/>
    <w:sig w:usb0="00000000" w:usb1="00000000" w:usb2="00000000" w:usb3="00000000" w:csb0="80000000" w:csb1="00000000"/>
  </w:font>
  <w:font w:name="Ericsson Capital TT">
    <w:altName w:val="Corbel"/>
    <w:panose1 w:val="00000000000000000000"/>
    <w:charset w:val="00"/>
    <w:family w:val="auto"/>
    <w:pitch w:val="default"/>
    <w:sig w:usb0="00000000" w:usb1="00000000" w:usb2="00000000" w:usb3="00000000" w:csb0="0000009F" w:csb1="00000000"/>
  </w:font>
  <w:font w:name="Cambria Math">
    <w:panose1 w:val="02040503050406030204"/>
    <w:charset w:val="00"/>
    <w:family w:val="roman"/>
    <w:pitch w:val="default"/>
    <w:sig w:usb0="E00002FF" w:usb1="420024FF" w:usb2="00000000" w:usb3="00000000" w:csb0="2000019F" w:csb1="00000000"/>
  </w:font>
  <w:font w:name="Arial Unicode MS">
    <w:altName w:val="Arial"/>
    <w:panose1 w:val="020B0604020202020204"/>
    <w:charset w:val="80"/>
    <w:family w:val="swiss"/>
    <w:pitch w:val="default"/>
    <w:sig w:usb0="00000000" w:usb1="00000000" w:usb2="0000003F" w:usb3="00000000" w:csb0="003F01FF" w:csb1="00000000"/>
  </w:font>
  <w:font w:name="Yu Gothic">
    <w:altName w:val="MS UI Gothic"/>
    <w:panose1 w:val="020B0400000000000000"/>
    <w:charset w:val="80"/>
    <w:family w:val="swiss"/>
    <w:pitch w:val="default"/>
    <w:sig w:usb0="00000000" w:usb1="00000000" w:usb2="00000016" w:usb3="00000000" w:csb0="0002009F" w:csb1="00000000"/>
  </w:font>
  <w:font w:name="Corbel">
    <w:panose1 w:val="020B0503020204020204"/>
    <w:charset w:val="00"/>
    <w:family w:val="auto"/>
    <w:pitch w:val="default"/>
    <w:sig w:usb0="A00002EF" w:usb1="4000A44B" w:usb2="00000000" w:usb3="00000000" w:csb0="2000019F" w:csb1="00000000"/>
  </w:font>
  <w:font w:name="MS UI Gothic">
    <w:panose1 w:val="020B0600070205080204"/>
    <w:charset w:val="80"/>
    <w:family w:val="auto"/>
    <w:pitch w:val="default"/>
    <w:sig w:usb0="E00002FF" w:usb1="6AC7FDFB" w:usb2="00000012" w:usb3="00000000" w:csb0="4002009F" w:csb1="DFD70000"/>
  </w:font>
  <w:font w:name="FuturaA Bk BT">
    <w:altName w:val="Segoe UI"/>
    <w:panose1 w:val="00000000000000000000"/>
    <w:charset w:val="00"/>
    <w:family w:val="swiss"/>
    <w:pitch w:val="default"/>
    <w:sig w:usb0="00000000" w:usb1="00000000" w:usb2="00000000" w:usb3="00000000" w:csb0="0000001B" w:csb1="00000000"/>
  </w:font>
  <w:font w:name="KaiTi_GB2312">
    <w:altName w:val="Segoe Print"/>
    <w:panose1 w:val="02010609060101010101"/>
    <w:charset w:val="00"/>
    <w:family w:val="roman"/>
    <w:pitch w:val="default"/>
    <w:sig w:usb0="00000000" w:usb1="00000000" w:usb2="00000000" w:usb3="00000000" w:csb0="00000000" w:csb1="00000000"/>
  </w:font>
  <w:font w:name="FangSong_GB2312">
    <w:altName w:val="仿宋_GB2312"/>
    <w:panose1 w:val="00000000000000000000"/>
    <w:charset w:val="00"/>
    <w:family w:val="roman"/>
    <w:pitch w:val="default"/>
    <w:sig w:usb0="00000000" w:usb1="00000000" w:usb2="00000000" w:usb3="00000000" w:csb0="00000000" w:csb1="00000000"/>
  </w:font>
  <w:font w:name="华文仿宋">
    <w:panose1 w:val="02010600040101010101"/>
    <w:charset w:val="86"/>
    <w:family w:val="roman"/>
    <w:pitch w:val="default"/>
    <w:sig w:usb0="00000287" w:usb1="080F0000" w:usb2="00000000" w:usb3="00000000" w:csb0="0004009F" w:csb1="DFD70000"/>
  </w:font>
  <w:font w:name="Segoe UI">
    <w:panose1 w:val="020B0502040204020203"/>
    <w:charset w:val="00"/>
    <w:family w:val="auto"/>
    <w:pitch w:val="default"/>
    <w:sig w:usb0="E10022FF" w:usb1="C000E47F" w:usb2="00000029" w:usb3="00000000" w:csb0="200001DF" w:csb1="20000000"/>
  </w:font>
  <w:font w:name="仿宋_GB2312">
    <w:panose1 w:val="02010609030101010101"/>
    <w:charset w:val="86"/>
    <w:family w:val="auto"/>
    <w:pitch w:val="default"/>
    <w:sig w:usb0="00000001" w:usb1="080E0000" w:usb2="00000000" w:usb3="00000000" w:csb0="00040000" w:csb1="00000000"/>
  </w:font>
  <w:font w:name="Arial">
    <w:panose1 w:val="020B0604020202020204"/>
    <w:charset w:val="80"/>
    <w:family w:val="swiss"/>
    <w:pitch w:val="default"/>
    <w:sig w:usb0="E0002AFF" w:usb1="C0007843" w:usb2="00000009" w:usb3="00000000" w:csb0="400001FF" w:csb1="FFFF0000"/>
  </w:font>
  <w:font w:name="PMingLiU">
    <w:panose1 w:val="02020500000000000000"/>
    <w:charset w:val="88"/>
    <w:family w:val="auto"/>
    <w:pitch w:val="default"/>
    <w:sig w:usb0="A00002FF" w:usb1="28CFFCFA" w:usb2="00000016" w:usb3="00000000" w:csb0="00100001" w:csb1="00000000"/>
  </w:font>
  <w:font w:name="仿宋">
    <w:panose1 w:val="02010609060101010101"/>
    <w:charset w:val="86"/>
    <w:family w:val="auto"/>
    <w:pitch w:val="default"/>
    <w:sig w:usb0="800002BF" w:usb1="38CF7CFA" w:usb2="00000016" w:usb3="00000000" w:csb0="00040001" w:csb1="00000000"/>
  </w:font>
  <w:font w:name="Calibri Light">
    <w:altName w:val="Calibri"/>
    <w:panose1 w:val="00000000000000000000"/>
    <w:charset w:val="00"/>
    <w:family w:val="auto"/>
    <w:pitch w:val="default"/>
    <w:sig w:usb0="00000000" w:usb1="00000000" w:usb2="00000000" w:usb3="00000000" w:csb0="00000000" w:csb1="00000000"/>
  </w:font>
  <w:font w:name="????">
    <w:altName w:val="MingLiU"/>
    <w:panose1 w:val="00000000000000000000"/>
    <w:charset w:val="88"/>
    <w:family w:val="auto"/>
    <w:pitch w:val="default"/>
    <w:sig w:usb0="00000000" w:usb1="00000000" w:usb2="00000010" w:usb3="00000000" w:csb0="00100000" w:csb1="00000000"/>
  </w:font>
  <w:font w:name="Gulim">
    <w:panose1 w:val="020B0600000101010101"/>
    <w:charset w:val="81"/>
    <w:family w:val="swiss"/>
    <w:pitch w:val="default"/>
    <w:sig w:usb0="B00002AF" w:usb1="69D77CFB" w:usb2="00000030" w:usb3="00000000" w:csb0="4008009F" w:csb1="DFD70000"/>
  </w:font>
  <w:font w:name="Times New Roman Italic">
    <w:altName w:val="Times New Roman"/>
    <w:panose1 w:val="00000000000000000000"/>
    <w:charset w:val="00"/>
    <w:family w:val="roman"/>
    <w:pitch w:val="default"/>
    <w:sig w:usb0="00000000" w:usb1="00000000" w:usb2="00000000" w:usb3="00000000" w:csb0="00000001" w:csb1="00000000"/>
  </w:font>
  <w:font w:name="KaiTi_GB2312">
    <w:altName w:val="宋体"/>
    <w:panose1 w:val="02010609060101010101"/>
    <w:charset w:val="86"/>
    <w:family w:val="modern"/>
    <w:pitch w:val="default"/>
    <w:sig w:usb0="00000000" w:usb1="00000000" w:usb2="00000016" w:usb3="00000000" w:csb0="00040001" w:csb1="00000000"/>
  </w:font>
  <w:font w:name="Bookman Old Style">
    <w:altName w:val="Segoe Print"/>
    <w:panose1 w:val="02050604050505020204"/>
    <w:charset w:val="00"/>
    <w:family w:val="roman"/>
    <w:pitch w:val="default"/>
    <w:sig w:usb0="00000000" w:usb1="00000000" w:usb2="00000000" w:usb3="00000000" w:csb0="0000009F" w:csb1="00000000"/>
  </w:font>
  <w:font w:name="Consolas">
    <w:panose1 w:val="020B0609020204030204"/>
    <w:charset w:val="00"/>
    <w:family w:val="modern"/>
    <w:pitch w:val="default"/>
    <w:sig w:usb0="E10002FF" w:usb1="4000FCFF" w:usb2="00000009" w:usb3="00000000" w:csb0="6000019F" w:csb1="DFD70000"/>
  </w:font>
  <w:font w:name="MingLiU">
    <w:panose1 w:val="02020509000000000000"/>
    <w:charset w:val="88"/>
    <w:family w:val="auto"/>
    <w:pitch w:val="default"/>
    <w:sig w:usb0="A00002FF" w:usb1="28CFFCFA" w:usb2="00000016" w:usb3="00000000" w:csb0="00100001" w:csb1="00000000"/>
  </w:font>
  <w:font w:name="新宋体">
    <w:panose1 w:val="02010609030101010101"/>
    <w:charset w:val="86"/>
    <w:family w:val="auto"/>
    <w:pitch w:val="default"/>
    <w:sig w:usb0="00000003" w:usb1="288F0000" w:usb2="00000006" w:usb3="00000000" w:csb0="00040001" w:csb1="00000000"/>
  </w:font>
  <w:font w:name="时尚中黑简体">
    <w:altName w:val="黑体"/>
    <w:panose1 w:val="01010104010101010101"/>
    <w:charset w:val="86"/>
    <w:family w:val="auto"/>
    <w:pitch w:val="default"/>
    <w:sig w:usb0="00000000" w:usb1="00000000" w:usb2="00000012" w:usb3="00000000" w:csb0="00040001" w:csb1="00000000"/>
  </w:font>
  <w:font w:name="楷体">
    <w:panose1 w:val="02010609060101010101"/>
    <w:charset w:val="86"/>
    <w:family w:val="auto"/>
    <w:pitch w:val="default"/>
    <w:sig w:usb0="800002BF" w:usb1="38CF7CFA" w:usb2="00000016" w:usb3="00000000" w:csb0="00040001" w:csb1="00000000"/>
  </w:font>
  <w:font w:name="BatangChe">
    <w:panose1 w:val="02030609000101010101"/>
    <w:charset w:val="81"/>
    <w:family w:val="auto"/>
    <w:pitch w:val="default"/>
    <w:sig w:usb0="B00002AF" w:usb1="69D77CFB" w:usb2="00000030" w:usb3="00000000" w:csb0="4008009F" w:csb1="DFD70000"/>
  </w:font>
  <w:font w:name="DFKai-SB">
    <w:panose1 w:val="03000509000000000000"/>
    <w:charset w:val="88"/>
    <w:family w:val="auto"/>
    <w:pitch w:val="default"/>
    <w:sig w:usb0="00000003" w:usb1="082E0000" w:usb2="00000016" w:usb3="00000000" w:csb0="00100001" w:csb1="00000000"/>
  </w:font>
  <w:font w:name="Dotum">
    <w:panose1 w:val="020B0600000101010101"/>
    <w:charset w:val="81"/>
    <w:family w:val="auto"/>
    <w:pitch w:val="default"/>
    <w:sig w:usb0="B00002AF" w:usb1="69D77CFB" w:usb2="00000030" w:usb3="00000000" w:csb0="4008009F" w:csb1="DFD70000"/>
  </w:font>
  <w:font w:name="DotumChe">
    <w:panose1 w:val="020B0609000101010101"/>
    <w:charset w:val="81"/>
    <w:family w:val="auto"/>
    <w:pitch w:val="default"/>
    <w:sig w:usb0="B00002AF" w:usb1="69D77CFB" w:usb2="00000030" w:usb3="00000000" w:csb0="4008009F" w:csb1="DFD70000"/>
  </w:font>
  <w:font w:name="GulimChe">
    <w:panose1 w:val="020B0609000101010101"/>
    <w:charset w:val="81"/>
    <w:family w:val="auto"/>
    <w:pitch w:val="default"/>
    <w:sig w:usb0="B00002AF" w:usb1="69D77CFB" w:usb2="00000030" w:usb3="00000000" w:csb0="4008009F" w:csb1="DFD70000"/>
  </w:font>
  <w:font w:name="Meiryo">
    <w:panose1 w:val="020B0604030504040204"/>
    <w:charset w:val="80"/>
    <w:family w:val="auto"/>
    <w:pitch w:val="default"/>
    <w:sig w:usb0="E10102FF" w:usb1="EAC7FFFF" w:usb2="00010012" w:usb3="00000000" w:csb0="6002009F" w:csb1="DFD70000"/>
  </w:font>
  <w:font w:name="Meiryo UI">
    <w:panose1 w:val="020B0604030504040204"/>
    <w:charset w:val="80"/>
    <w:family w:val="auto"/>
    <w:pitch w:val="default"/>
    <w:sig w:usb0="E10102FF" w:usb1="EAC7FFFF" w:usb2="00010012" w:usb3="00000000" w:csb0="6002009F" w:csb1="DFD70000"/>
  </w:font>
  <w:font w:name="MingLiU-ExtB">
    <w:panose1 w:val="02020500000000000000"/>
    <w:charset w:val="88"/>
    <w:family w:val="auto"/>
    <w:pitch w:val="default"/>
    <w:sig w:usb0="8000002F" w:usb1="02000008" w:usb2="00000000" w:usb3="00000000" w:csb0="00100001" w:csb1="00000000"/>
  </w:font>
  <w:font w:name="MingLiU_HKSCS">
    <w:panose1 w:val="02020500000000000000"/>
    <w:charset w:val="88"/>
    <w:family w:val="auto"/>
    <w:pitch w:val="default"/>
    <w:sig w:usb0="A00002FF" w:usb1="38CFFCFA" w:usb2="00000016" w:usb3="00000000" w:csb0="00100001" w:csb1="00000000"/>
  </w:font>
  <w:font w:name="PMingLiU-ExtB">
    <w:panose1 w:val="02020500000000000000"/>
    <w:charset w:val="88"/>
    <w:family w:val="auto"/>
    <w:pitch w:val="default"/>
    <w:sig w:usb0="8000002F" w:usb1="02000008" w:usb2="00000000" w:usb3="00000000" w:csb0="00100001" w:csb1="00000000"/>
  </w:font>
  <w:font w:name="SimSun-ExtB">
    <w:panose1 w:val="02010609060101010101"/>
    <w:charset w:val="86"/>
    <w:family w:val="auto"/>
    <w:pitch w:val="default"/>
    <w:sig w:usb0="00000001" w:usb1="02000000" w:usb2="00000000" w:usb3="00000000" w:csb0="00040001" w:csb1="00000000"/>
  </w:font>
  <w:font w:name="Comic Sans MS">
    <w:panose1 w:val="030F0702030302020204"/>
    <w:charset w:val="00"/>
    <w:family w:val="auto"/>
    <w:pitch w:val="default"/>
    <w:sig w:usb0="00000287" w:usb1="00000000" w:usb2="00000000" w:usb3="00000000" w:csb0="2000009F" w:csb1="00000000"/>
  </w:font>
  <w:font w:name="Cordia New">
    <w:panose1 w:val="020B0304020202020204"/>
    <w:charset w:val="00"/>
    <w:family w:val="auto"/>
    <w:pitch w:val="default"/>
    <w:sig w:usb0="81000003" w:usb1="00000000" w:usb2="00000000" w:usb3="00000000" w:csb0="00010001" w:csb1="00000000"/>
  </w:font>
  <w:font w:name="Constantia">
    <w:panose1 w:val="02030602050306030303"/>
    <w:charset w:val="00"/>
    <w:family w:val="auto"/>
    <w:pitch w:val="default"/>
    <w:sig w:usb0="A00002EF" w:usb1="4000204B" w:usb2="00000000" w:usb3="00000000" w:csb0="2000019F" w:csb1="00000000"/>
  </w:font>
  <w:font w:name="Vani">
    <w:panose1 w:val="020B0502040204020203"/>
    <w:charset w:val="00"/>
    <w:family w:val="auto"/>
    <w:pitch w:val="default"/>
    <w:sig w:usb0="00200003" w:usb1="00000000" w:usb2="00000000" w:usb3="00000000" w:csb0="00000001" w:csb1="00000000"/>
  </w:font>
  <w:font w:name="Utsaah">
    <w:panose1 w:val="020B0604020202020204"/>
    <w:charset w:val="00"/>
    <w:family w:val="auto"/>
    <w:pitch w:val="default"/>
    <w:sig w:usb0="00008003" w:usb1="00000000" w:usb2="00000000" w:usb3="00000000" w:csb0="00000001" w:csb1="00000000"/>
  </w:font>
  <w:font w:name="Tunga">
    <w:panose1 w:val="020B0502040204020203"/>
    <w:charset w:val="00"/>
    <w:family w:val="auto"/>
    <w:pitch w:val="default"/>
    <w:sig w:usb0="00400003" w:usb1="00000000" w:usb2="00000000" w:usb3="00000000" w:csb0="00000001" w:csb1="00000000"/>
  </w:font>
  <w:font w:name="Trebuchet MS">
    <w:panose1 w:val="020B0603020202020204"/>
    <w:charset w:val="00"/>
    <w:family w:val="auto"/>
    <w:pitch w:val="default"/>
    <w:sig w:usb0="00000287" w:usb1="00000000" w:usb2="00000000" w:usb3="00000000" w:csb0="2000009F" w:csb1="00000000"/>
  </w:font>
  <w:font w:name="Traditional Arabic">
    <w:panose1 w:val="02020603050405020304"/>
    <w:charset w:val="00"/>
    <w:family w:val="auto"/>
    <w:pitch w:val="default"/>
    <w:sig w:usb0="00006003" w:usb1="80000000" w:usb2="00000008" w:usb3="00000000" w:csb0="00000041" w:csb1="20080000"/>
  </w:font>
  <w:font w:name="CG Times (WN)">
    <w:altName w:val="Arial"/>
    <w:panose1 w:val="00000000000000000000"/>
    <w:charset w:val="00"/>
    <w:family w:val="roman"/>
    <w:pitch w:val="default"/>
    <w:sig w:usb0="00000000"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FE1FCF"/>
    <w:multiLevelType w:val="multilevel"/>
    <w:tmpl w:val="26FE1FCF"/>
    <w:lvl w:ilvl="0" w:tentative="0">
      <w:start w:val="1"/>
      <w:numFmt w:val="decimal"/>
      <w:pStyle w:val="62"/>
      <w:lvlText w:val="%1 "/>
      <w:lvlJc w:val="left"/>
      <w:pPr>
        <w:tabs>
          <w:tab w:val="left" w:pos="648"/>
        </w:tabs>
        <w:ind w:firstLine="288"/>
      </w:pPr>
      <w:rPr>
        <w:rFonts w:hint="default" w:ascii="Times New Roman" w:hAnsi="Times New Roman" w:cs="Times New Roman"/>
        <w:b w:val="0"/>
        <w:bCs w:val="0"/>
        <w:i w:val="0"/>
        <w:iCs w:val="0"/>
        <w:caps w:val="0"/>
        <w:strike w:val="0"/>
        <w:dstrike w:val="0"/>
        <w:vanish w:val="0"/>
        <w:color w:val="000000"/>
        <w:sz w:val="16"/>
        <w:szCs w:val="16"/>
        <w:vertAlign w:val="superscript"/>
        <w14:shadow w14:blurRad="0" w14:dist="0" w14:dir="0" w14:sx="0" w14:sy="0" w14:kx="0" w14:ky="0" w14:algn="none">
          <w14:srgbClr w14:val="000000"/>
        </w14:shadow>
      </w:rPr>
    </w:lvl>
    <w:lvl w:ilvl="1" w:tentative="0">
      <w:start w:val="1"/>
      <w:numFmt w:val="lowerLetter"/>
      <w:lvlText w:val="%2."/>
      <w:lvlJc w:val="left"/>
      <w:pPr>
        <w:tabs>
          <w:tab w:val="left" w:pos="1440"/>
        </w:tabs>
        <w:ind w:left="1440" w:hanging="360"/>
      </w:pPr>
      <w:rPr>
        <w:rFonts w:cs="Times New Roman"/>
      </w:rPr>
    </w:lvl>
    <w:lvl w:ilvl="2" w:tentative="0">
      <w:start w:val="1"/>
      <w:numFmt w:val="lowerRoman"/>
      <w:lvlText w:val="%3."/>
      <w:lvlJc w:val="right"/>
      <w:pPr>
        <w:tabs>
          <w:tab w:val="left" w:pos="2160"/>
        </w:tabs>
        <w:ind w:left="2160" w:hanging="18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lowerLetter"/>
      <w:lvlText w:val="%5."/>
      <w:lvlJc w:val="left"/>
      <w:pPr>
        <w:tabs>
          <w:tab w:val="left" w:pos="3600"/>
        </w:tabs>
        <w:ind w:left="3600" w:hanging="360"/>
      </w:pPr>
      <w:rPr>
        <w:rFonts w:cs="Times New Roman"/>
      </w:rPr>
    </w:lvl>
    <w:lvl w:ilvl="5" w:tentative="0">
      <w:start w:val="1"/>
      <w:numFmt w:val="lowerRoman"/>
      <w:lvlText w:val="%6."/>
      <w:lvlJc w:val="right"/>
      <w:pPr>
        <w:tabs>
          <w:tab w:val="left" w:pos="4320"/>
        </w:tabs>
        <w:ind w:left="4320" w:hanging="18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lowerLetter"/>
      <w:lvlText w:val="%8."/>
      <w:lvlJc w:val="left"/>
      <w:pPr>
        <w:tabs>
          <w:tab w:val="left" w:pos="5760"/>
        </w:tabs>
        <w:ind w:left="5760" w:hanging="360"/>
      </w:pPr>
      <w:rPr>
        <w:rFonts w:cs="Times New Roman"/>
      </w:rPr>
    </w:lvl>
    <w:lvl w:ilvl="8" w:tentative="0">
      <w:start w:val="1"/>
      <w:numFmt w:val="lowerRoman"/>
      <w:lvlText w:val="%9."/>
      <w:lvlJc w:val="right"/>
      <w:pPr>
        <w:tabs>
          <w:tab w:val="left" w:pos="6480"/>
        </w:tabs>
        <w:ind w:left="6480" w:hanging="180"/>
      </w:pPr>
      <w:rPr>
        <w:rFonts w:cs="Times New Roman"/>
      </w:rPr>
    </w:lvl>
  </w:abstractNum>
  <w:abstractNum w:abstractNumId="1">
    <w:nsid w:val="37660336"/>
    <w:multiLevelType w:val="multilevel"/>
    <w:tmpl w:val="37660336"/>
    <w:lvl w:ilvl="0" w:tentative="0">
      <w:start w:val="1"/>
      <w:numFmt w:val="bullet"/>
      <w:pStyle w:val="59"/>
      <w:lvlText w:val=""/>
      <w:lvlJc w:val="left"/>
      <w:pPr>
        <w:tabs>
          <w:tab w:val="left" w:pos="648"/>
        </w:tabs>
        <w:ind w:left="648"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52CA544A"/>
    <w:multiLevelType w:val="singleLevel"/>
    <w:tmpl w:val="52CA544A"/>
    <w:lvl w:ilvl="0" w:tentative="0">
      <w:start w:val="1"/>
      <w:numFmt w:val="decimal"/>
      <w:pStyle w:val="66"/>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3">
    <w:nsid w:val="5A0459C2"/>
    <w:multiLevelType w:val="singleLevel"/>
    <w:tmpl w:val="5A0459C2"/>
    <w:lvl w:ilvl="0" w:tentative="0">
      <w:start w:val="1"/>
      <w:numFmt w:val="bullet"/>
      <w:lvlText w:val=""/>
      <w:lvlJc w:val="left"/>
      <w:pPr>
        <w:ind w:left="420" w:leftChars="0" w:hanging="420" w:firstLineChars="0"/>
      </w:pPr>
      <w:rPr>
        <w:rFonts w:hint="default" w:ascii="Wingdings" w:hAnsi="Wingdings"/>
      </w:rPr>
    </w:lvl>
  </w:abstractNum>
  <w:abstractNum w:abstractNumId="4">
    <w:nsid w:val="5A0A5FC5"/>
    <w:multiLevelType w:val="singleLevel"/>
    <w:tmpl w:val="5A0A5FC5"/>
    <w:lvl w:ilvl="0" w:tentative="0">
      <w:start w:val="1"/>
      <w:numFmt w:val="bullet"/>
      <w:lvlText w:val=""/>
      <w:lvlJc w:val="left"/>
      <w:pPr>
        <w:ind w:left="420" w:hanging="420"/>
      </w:pPr>
      <w:rPr>
        <w:rFonts w:hint="default" w:ascii="Wingdings" w:hAnsi="Wingdings"/>
      </w:rPr>
    </w:lvl>
  </w:abstractNum>
  <w:abstractNum w:abstractNumId="5">
    <w:nsid w:val="5B046428"/>
    <w:multiLevelType w:val="multilevel"/>
    <w:tmpl w:val="5B046428"/>
    <w:lvl w:ilvl="0" w:tentative="0">
      <w:start w:val="1"/>
      <w:numFmt w:val="decimal"/>
      <w:lvlText w:val="%1."/>
      <w:lvlJc w:val="left"/>
      <w:pPr>
        <w:ind w:left="360" w:hanging="360"/>
      </w:pPr>
      <w:rPr>
        <w:rFonts w:hint="default"/>
      </w:rPr>
    </w:lvl>
    <w:lvl w:ilvl="1" w:tentative="0">
      <w:start w:val="1"/>
      <w:numFmt w:val="decimal"/>
      <w:lvlText w:val="2.%2"/>
      <w:lvlJc w:val="left"/>
      <w:pPr>
        <w:ind w:left="360" w:hanging="360"/>
      </w:pPr>
      <w:rPr>
        <w:rFonts w:hint="eastAsia"/>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6">
    <w:nsid w:val="6C402C58"/>
    <w:multiLevelType w:val="multilevel"/>
    <w:tmpl w:val="6C402C58"/>
    <w:lvl w:ilvl="0" w:tentative="0">
      <w:start w:val="1"/>
      <w:numFmt w:val="decimal"/>
      <w:pStyle w:val="61"/>
      <w:lvlText w:val="Figure %1. "/>
      <w:lvlJc w:val="left"/>
      <w:pPr>
        <w:tabs>
          <w:tab w:val="left" w:pos="720"/>
        </w:tabs>
      </w:pPr>
      <w:rPr>
        <w:rFonts w:hint="default" w:ascii="Times New Roman" w:hAnsi="Times New Roman" w:cs="Times New Roman"/>
        <w:b w:val="0"/>
        <w:bCs w:val="0"/>
        <w:i w:val="0"/>
        <w:iCs w:val="0"/>
        <w:color w:val="auto"/>
        <w:sz w:val="16"/>
        <w:szCs w:val="16"/>
      </w:rPr>
    </w:lvl>
    <w:lvl w:ilvl="1" w:tentative="0">
      <w:start w:val="1"/>
      <w:numFmt w:val="lowerLetter"/>
      <w:lvlText w:val="%2."/>
      <w:lvlJc w:val="left"/>
      <w:pPr>
        <w:tabs>
          <w:tab w:val="left" w:pos="1440"/>
        </w:tabs>
        <w:ind w:left="1440" w:hanging="360"/>
      </w:pPr>
      <w:rPr>
        <w:rFonts w:cs="Times New Roman"/>
      </w:rPr>
    </w:lvl>
    <w:lvl w:ilvl="2" w:tentative="0">
      <w:start w:val="1"/>
      <w:numFmt w:val="lowerRoman"/>
      <w:lvlText w:val="%3."/>
      <w:lvlJc w:val="right"/>
      <w:pPr>
        <w:tabs>
          <w:tab w:val="left" w:pos="2160"/>
        </w:tabs>
        <w:ind w:left="2160" w:hanging="18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lowerLetter"/>
      <w:lvlText w:val="%5."/>
      <w:lvlJc w:val="left"/>
      <w:pPr>
        <w:tabs>
          <w:tab w:val="left" w:pos="3600"/>
        </w:tabs>
        <w:ind w:left="3600" w:hanging="360"/>
      </w:pPr>
      <w:rPr>
        <w:rFonts w:cs="Times New Roman"/>
      </w:rPr>
    </w:lvl>
    <w:lvl w:ilvl="5" w:tentative="0">
      <w:start w:val="1"/>
      <w:numFmt w:val="lowerRoman"/>
      <w:lvlText w:val="%6."/>
      <w:lvlJc w:val="right"/>
      <w:pPr>
        <w:tabs>
          <w:tab w:val="left" w:pos="4320"/>
        </w:tabs>
        <w:ind w:left="4320" w:hanging="18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lowerLetter"/>
      <w:lvlText w:val="%8."/>
      <w:lvlJc w:val="left"/>
      <w:pPr>
        <w:tabs>
          <w:tab w:val="left" w:pos="5760"/>
        </w:tabs>
        <w:ind w:left="5760" w:hanging="360"/>
      </w:pPr>
      <w:rPr>
        <w:rFonts w:cs="Times New Roman"/>
      </w:rPr>
    </w:lvl>
    <w:lvl w:ilvl="8" w:tentative="0">
      <w:start w:val="1"/>
      <w:numFmt w:val="lowerRoman"/>
      <w:lvlText w:val="%9."/>
      <w:lvlJc w:val="right"/>
      <w:pPr>
        <w:tabs>
          <w:tab w:val="left" w:pos="6480"/>
        </w:tabs>
        <w:ind w:left="6480" w:hanging="180"/>
      </w:pPr>
      <w:rPr>
        <w:rFonts w:cs="Times New Roman"/>
      </w:rPr>
    </w:lvl>
  </w:abstractNum>
  <w:abstractNum w:abstractNumId="7">
    <w:nsid w:val="6CD32DA8"/>
    <w:multiLevelType w:val="singleLevel"/>
    <w:tmpl w:val="6CD32DA8"/>
    <w:lvl w:ilvl="0" w:tentative="0">
      <w:start w:val="1"/>
      <w:numFmt w:val="upperRoman"/>
      <w:pStyle w:val="72"/>
      <w:lvlText w:val="TABLE %1. "/>
      <w:lvlJc w:val="left"/>
      <w:pPr>
        <w:tabs>
          <w:tab w:val="left" w:pos="1080"/>
        </w:tabs>
      </w:pPr>
      <w:rPr>
        <w:rFonts w:hint="default" w:ascii="Times New Roman" w:hAnsi="Times New Roman" w:cs="Times New Roman"/>
        <w:b w:val="0"/>
        <w:bCs w:val="0"/>
        <w:i w:val="0"/>
        <w:iCs w:val="0"/>
        <w:sz w:val="16"/>
        <w:szCs w:val="16"/>
      </w:rPr>
    </w:lvl>
  </w:abstractNum>
  <w:abstractNum w:abstractNumId="8">
    <w:nsid w:val="6E760327"/>
    <w:multiLevelType w:val="multilevel"/>
    <w:tmpl w:val="6E760327"/>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pStyle w:val="4"/>
      <w:lvlText w:val="%1.%2.%3"/>
      <w:lvlJc w:val="left"/>
      <w:pPr>
        <w:tabs>
          <w:tab w:val="left" w:pos="0"/>
        </w:tabs>
        <w:ind w:left="0" w:firstLine="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8"/>
  </w:num>
  <w:num w:numId="2">
    <w:abstractNumId w:val="1"/>
  </w:num>
  <w:num w:numId="3">
    <w:abstractNumId w:val="6"/>
  </w:num>
  <w:num w:numId="4">
    <w:abstractNumId w:val="0"/>
  </w:num>
  <w:num w:numId="5">
    <w:abstractNumId w:val="2"/>
  </w:num>
  <w:num w:numId="6">
    <w:abstractNumId w:val="7"/>
  </w:num>
  <w:num w:numId="7">
    <w:abstractNumId w:val="5"/>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1"/>
  <w:bordersDoNotSurroundFooter w:val="1"/>
  <w:documentProtection w:enforcement="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D5"/>
    <w:rsid w:val="00000844"/>
    <w:rsid w:val="00000FFB"/>
    <w:rsid w:val="0000128A"/>
    <w:rsid w:val="00001F6C"/>
    <w:rsid w:val="00002071"/>
    <w:rsid w:val="000020F6"/>
    <w:rsid w:val="000027F9"/>
    <w:rsid w:val="00002DC8"/>
    <w:rsid w:val="00002EA0"/>
    <w:rsid w:val="0000360D"/>
    <w:rsid w:val="000043AE"/>
    <w:rsid w:val="000046A7"/>
    <w:rsid w:val="00004781"/>
    <w:rsid w:val="00005022"/>
    <w:rsid w:val="0000557C"/>
    <w:rsid w:val="000055D1"/>
    <w:rsid w:val="0000599F"/>
    <w:rsid w:val="000062AC"/>
    <w:rsid w:val="000066E7"/>
    <w:rsid w:val="00006A0E"/>
    <w:rsid w:val="00006F5D"/>
    <w:rsid w:val="0000705B"/>
    <w:rsid w:val="00007304"/>
    <w:rsid w:val="00007966"/>
    <w:rsid w:val="0001141F"/>
    <w:rsid w:val="000119B6"/>
    <w:rsid w:val="00011EE2"/>
    <w:rsid w:val="00011F04"/>
    <w:rsid w:val="00012425"/>
    <w:rsid w:val="00012566"/>
    <w:rsid w:val="00012DF3"/>
    <w:rsid w:val="00012E08"/>
    <w:rsid w:val="00012E58"/>
    <w:rsid w:val="00013248"/>
    <w:rsid w:val="000132A2"/>
    <w:rsid w:val="000134EA"/>
    <w:rsid w:val="00013981"/>
    <w:rsid w:val="00013BD6"/>
    <w:rsid w:val="00013C24"/>
    <w:rsid w:val="00014115"/>
    <w:rsid w:val="00014604"/>
    <w:rsid w:val="000149BA"/>
    <w:rsid w:val="00014B48"/>
    <w:rsid w:val="0001579E"/>
    <w:rsid w:val="000158BE"/>
    <w:rsid w:val="00015F44"/>
    <w:rsid w:val="00016962"/>
    <w:rsid w:val="000175D6"/>
    <w:rsid w:val="00017916"/>
    <w:rsid w:val="00017CDA"/>
    <w:rsid w:val="00020166"/>
    <w:rsid w:val="0002066E"/>
    <w:rsid w:val="00020CF3"/>
    <w:rsid w:val="00021370"/>
    <w:rsid w:val="00021ABC"/>
    <w:rsid w:val="0002237C"/>
    <w:rsid w:val="0002249A"/>
    <w:rsid w:val="00022C5F"/>
    <w:rsid w:val="000231D0"/>
    <w:rsid w:val="00023951"/>
    <w:rsid w:val="00023D68"/>
    <w:rsid w:val="000244B9"/>
    <w:rsid w:val="00024A0B"/>
    <w:rsid w:val="00025176"/>
    <w:rsid w:val="00025695"/>
    <w:rsid w:val="00026B95"/>
    <w:rsid w:val="00026C59"/>
    <w:rsid w:val="00027053"/>
    <w:rsid w:val="000271B7"/>
    <w:rsid w:val="0002741E"/>
    <w:rsid w:val="0002775C"/>
    <w:rsid w:val="00027A85"/>
    <w:rsid w:val="00027D0A"/>
    <w:rsid w:val="00027D77"/>
    <w:rsid w:val="00027E02"/>
    <w:rsid w:val="0003074F"/>
    <w:rsid w:val="00030A78"/>
    <w:rsid w:val="00030C02"/>
    <w:rsid w:val="0003128F"/>
    <w:rsid w:val="00031458"/>
    <w:rsid w:val="000319ED"/>
    <w:rsid w:val="000322B0"/>
    <w:rsid w:val="000327CA"/>
    <w:rsid w:val="000332EA"/>
    <w:rsid w:val="00033359"/>
    <w:rsid w:val="0003348A"/>
    <w:rsid w:val="00033D39"/>
    <w:rsid w:val="0003417D"/>
    <w:rsid w:val="000343E5"/>
    <w:rsid w:val="0003583A"/>
    <w:rsid w:val="00035887"/>
    <w:rsid w:val="00035B81"/>
    <w:rsid w:val="00036250"/>
    <w:rsid w:val="00036872"/>
    <w:rsid w:val="0003750E"/>
    <w:rsid w:val="00037AF2"/>
    <w:rsid w:val="00037FFB"/>
    <w:rsid w:val="00040352"/>
    <w:rsid w:val="0004052A"/>
    <w:rsid w:val="00041CBB"/>
    <w:rsid w:val="00041E19"/>
    <w:rsid w:val="00041F46"/>
    <w:rsid w:val="00043334"/>
    <w:rsid w:val="00043372"/>
    <w:rsid w:val="00043BA9"/>
    <w:rsid w:val="000442B0"/>
    <w:rsid w:val="000447D7"/>
    <w:rsid w:val="000449DE"/>
    <w:rsid w:val="00044C0B"/>
    <w:rsid w:val="00044D25"/>
    <w:rsid w:val="00044FF3"/>
    <w:rsid w:val="00045194"/>
    <w:rsid w:val="00045271"/>
    <w:rsid w:val="000458E6"/>
    <w:rsid w:val="00045E51"/>
    <w:rsid w:val="00045F11"/>
    <w:rsid w:val="000461C3"/>
    <w:rsid w:val="00046EFA"/>
    <w:rsid w:val="000473FF"/>
    <w:rsid w:val="000476D8"/>
    <w:rsid w:val="0004786D"/>
    <w:rsid w:val="00047901"/>
    <w:rsid w:val="0005032C"/>
    <w:rsid w:val="000505BE"/>
    <w:rsid w:val="00050C23"/>
    <w:rsid w:val="00050F70"/>
    <w:rsid w:val="000516C1"/>
    <w:rsid w:val="00051A5E"/>
    <w:rsid w:val="00051A81"/>
    <w:rsid w:val="00051CF3"/>
    <w:rsid w:val="00052602"/>
    <w:rsid w:val="0005295F"/>
    <w:rsid w:val="00052E69"/>
    <w:rsid w:val="00052F04"/>
    <w:rsid w:val="00053425"/>
    <w:rsid w:val="00054700"/>
    <w:rsid w:val="00054E48"/>
    <w:rsid w:val="0005555A"/>
    <w:rsid w:val="00055624"/>
    <w:rsid w:val="00055A7A"/>
    <w:rsid w:val="0005606C"/>
    <w:rsid w:val="00056618"/>
    <w:rsid w:val="00056E8F"/>
    <w:rsid w:val="0005716B"/>
    <w:rsid w:val="00057360"/>
    <w:rsid w:val="00057AC7"/>
    <w:rsid w:val="000600F5"/>
    <w:rsid w:val="00061230"/>
    <w:rsid w:val="000613C3"/>
    <w:rsid w:val="000613D2"/>
    <w:rsid w:val="00061699"/>
    <w:rsid w:val="00061A4F"/>
    <w:rsid w:val="00062143"/>
    <w:rsid w:val="000624B4"/>
    <w:rsid w:val="000627C2"/>
    <w:rsid w:val="0006282E"/>
    <w:rsid w:val="00062CD8"/>
    <w:rsid w:val="00062DBD"/>
    <w:rsid w:val="00062F51"/>
    <w:rsid w:val="000634CF"/>
    <w:rsid w:val="00063674"/>
    <w:rsid w:val="0006414C"/>
    <w:rsid w:val="00065D29"/>
    <w:rsid w:val="00065DFD"/>
    <w:rsid w:val="00066340"/>
    <w:rsid w:val="000664A3"/>
    <w:rsid w:val="00066556"/>
    <w:rsid w:val="00066A38"/>
    <w:rsid w:val="000672C8"/>
    <w:rsid w:val="000673C8"/>
    <w:rsid w:val="00067467"/>
    <w:rsid w:val="0006770A"/>
    <w:rsid w:val="00067C9E"/>
    <w:rsid w:val="00067F36"/>
    <w:rsid w:val="00071B54"/>
    <w:rsid w:val="00071F92"/>
    <w:rsid w:val="0007204A"/>
    <w:rsid w:val="00073130"/>
    <w:rsid w:val="000733D7"/>
    <w:rsid w:val="000737FB"/>
    <w:rsid w:val="0007397E"/>
    <w:rsid w:val="00073A92"/>
    <w:rsid w:val="000743B7"/>
    <w:rsid w:val="00074888"/>
    <w:rsid w:val="0007537D"/>
    <w:rsid w:val="000768A6"/>
    <w:rsid w:val="0007696E"/>
    <w:rsid w:val="00076A3D"/>
    <w:rsid w:val="00076A6C"/>
    <w:rsid w:val="000800E4"/>
    <w:rsid w:val="00080256"/>
    <w:rsid w:val="0008042A"/>
    <w:rsid w:val="0008046A"/>
    <w:rsid w:val="00080742"/>
    <w:rsid w:val="00080BB6"/>
    <w:rsid w:val="0008169B"/>
    <w:rsid w:val="000817E5"/>
    <w:rsid w:val="00082030"/>
    <w:rsid w:val="00082089"/>
    <w:rsid w:val="00082D73"/>
    <w:rsid w:val="00082E1C"/>
    <w:rsid w:val="00082E4E"/>
    <w:rsid w:val="000841CC"/>
    <w:rsid w:val="00084956"/>
    <w:rsid w:val="00084D08"/>
    <w:rsid w:val="00084DB3"/>
    <w:rsid w:val="00084FA0"/>
    <w:rsid w:val="0008525F"/>
    <w:rsid w:val="00085B2C"/>
    <w:rsid w:val="00085E28"/>
    <w:rsid w:val="00085F93"/>
    <w:rsid w:val="00086248"/>
    <w:rsid w:val="000863CD"/>
    <w:rsid w:val="000867CC"/>
    <w:rsid w:val="00087413"/>
    <w:rsid w:val="000902F8"/>
    <w:rsid w:val="00090950"/>
    <w:rsid w:val="00090DA4"/>
    <w:rsid w:val="0009167F"/>
    <w:rsid w:val="00091ADB"/>
    <w:rsid w:val="000925C8"/>
    <w:rsid w:val="000926B6"/>
    <w:rsid w:val="00092B46"/>
    <w:rsid w:val="00092BFD"/>
    <w:rsid w:val="000932F5"/>
    <w:rsid w:val="0009334E"/>
    <w:rsid w:val="000934A2"/>
    <w:rsid w:val="000934B3"/>
    <w:rsid w:val="00093B34"/>
    <w:rsid w:val="000942A7"/>
    <w:rsid w:val="0009447A"/>
    <w:rsid w:val="00094955"/>
    <w:rsid w:val="00094E61"/>
    <w:rsid w:val="00094F6C"/>
    <w:rsid w:val="00094FCA"/>
    <w:rsid w:val="0009604F"/>
    <w:rsid w:val="00096204"/>
    <w:rsid w:val="0009690E"/>
    <w:rsid w:val="00096998"/>
    <w:rsid w:val="000969E8"/>
    <w:rsid w:val="00096B72"/>
    <w:rsid w:val="00096ED6"/>
    <w:rsid w:val="00096FC5"/>
    <w:rsid w:val="00097059"/>
    <w:rsid w:val="00097238"/>
    <w:rsid w:val="00097434"/>
    <w:rsid w:val="0009766A"/>
    <w:rsid w:val="00097E86"/>
    <w:rsid w:val="000A088C"/>
    <w:rsid w:val="000A0DB9"/>
    <w:rsid w:val="000A0EAC"/>
    <w:rsid w:val="000A1279"/>
    <w:rsid w:val="000A145E"/>
    <w:rsid w:val="000A1653"/>
    <w:rsid w:val="000A25E3"/>
    <w:rsid w:val="000A2EE1"/>
    <w:rsid w:val="000A3632"/>
    <w:rsid w:val="000A3B4A"/>
    <w:rsid w:val="000A4032"/>
    <w:rsid w:val="000A45BD"/>
    <w:rsid w:val="000A4A40"/>
    <w:rsid w:val="000A53A4"/>
    <w:rsid w:val="000A61C7"/>
    <w:rsid w:val="000A6303"/>
    <w:rsid w:val="000A7CBB"/>
    <w:rsid w:val="000B0383"/>
    <w:rsid w:val="000B0DDF"/>
    <w:rsid w:val="000B1B44"/>
    <w:rsid w:val="000B2F7C"/>
    <w:rsid w:val="000B3CB7"/>
    <w:rsid w:val="000B3FCA"/>
    <w:rsid w:val="000B4CC0"/>
    <w:rsid w:val="000B5FAE"/>
    <w:rsid w:val="000B656B"/>
    <w:rsid w:val="000B6AF5"/>
    <w:rsid w:val="000B6CCA"/>
    <w:rsid w:val="000B6E5F"/>
    <w:rsid w:val="000B7B43"/>
    <w:rsid w:val="000C0344"/>
    <w:rsid w:val="000C050C"/>
    <w:rsid w:val="000C110E"/>
    <w:rsid w:val="000C1D3E"/>
    <w:rsid w:val="000C255C"/>
    <w:rsid w:val="000C2622"/>
    <w:rsid w:val="000C2810"/>
    <w:rsid w:val="000C2CCB"/>
    <w:rsid w:val="000C4ECD"/>
    <w:rsid w:val="000C5364"/>
    <w:rsid w:val="000C5938"/>
    <w:rsid w:val="000C5B35"/>
    <w:rsid w:val="000C64C0"/>
    <w:rsid w:val="000C693F"/>
    <w:rsid w:val="000C6C88"/>
    <w:rsid w:val="000D1B0E"/>
    <w:rsid w:val="000D1C2B"/>
    <w:rsid w:val="000D21DA"/>
    <w:rsid w:val="000D24AD"/>
    <w:rsid w:val="000D2C0B"/>
    <w:rsid w:val="000D32CA"/>
    <w:rsid w:val="000D3339"/>
    <w:rsid w:val="000D3518"/>
    <w:rsid w:val="000D37E9"/>
    <w:rsid w:val="000D4343"/>
    <w:rsid w:val="000D463D"/>
    <w:rsid w:val="000D4A82"/>
    <w:rsid w:val="000D4ECB"/>
    <w:rsid w:val="000D5EAA"/>
    <w:rsid w:val="000D624C"/>
    <w:rsid w:val="000D63D7"/>
    <w:rsid w:val="000D642E"/>
    <w:rsid w:val="000D6CD2"/>
    <w:rsid w:val="000D709B"/>
    <w:rsid w:val="000D744C"/>
    <w:rsid w:val="000E0044"/>
    <w:rsid w:val="000E027D"/>
    <w:rsid w:val="000E0442"/>
    <w:rsid w:val="000E059C"/>
    <w:rsid w:val="000E0C5D"/>
    <w:rsid w:val="000E0F41"/>
    <w:rsid w:val="000E1EE2"/>
    <w:rsid w:val="000E22BB"/>
    <w:rsid w:val="000E2347"/>
    <w:rsid w:val="000E2524"/>
    <w:rsid w:val="000E2F5A"/>
    <w:rsid w:val="000E31C9"/>
    <w:rsid w:val="000E3D52"/>
    <w:rsid w:val="000E3D57"/>
    <w:rsid w:val="000E3FC6"/>
    <w:rsid w:val="000E4390"/>
    <w:rsid w:val="000E4840"/>
    <w:rsid w:val="000E4B60"/>
    <w:rsid w:val="000E4EB5"/>
    <w:rsid w:val="000E5A28"/>
    <w:rsid w:val="000E64B2"/>
    <w:rsid w:val="000E6605"/>
    <w:rsid w:val="000E6CF7"/>
    <w:rsid w:val="000E6F0E"/>
    <w:rsid w:val="000E73A7"/>
    <w:rsid w:val="000E77C1"/>
    <w:rsid w:val="000E7F28"/>
    <w:rsid w:val="000F015E"/>
    <w:rsid w:val="000F089A"/>
    <w:rsid w:val="000F08B8"/>
    <w:rsid w:val="000F1AE8"/>
    <w:rsid w:val="000F1D50"/>
    <w:rsid w:val="000F1FAB"/>
    <w:rsid w:val="000F2106"/>
    <w:rsid w:val="000F2BA6"/>
    <w:rsid w:val="000F2E8A"/>
    <w:rsid w:val="000F43B9"/>
    <w:rsid w:val="000F4E76"/>
    <w:rsid w:val="000F4E7F"/>
    <w:rsid w:val="000F4FE3"/>
    <w:rsid w:val="000F52B2"/>
    <w:rsid w:val="000F6186"/>
    <w:rsid w:val="000F6199"/>
    <w:rsid w:val="000F7389"/>
    <w:rsid w:val="000F73BA"/>
    <w:rsid w:val="000F7565"/>
    <w:rsid w:val="000F782D"/>
    <w:rsid w:val="000F78D2"/>
    <w:rsid w:val="000F7B96"/>
    <w:rsid w:val="000F7DF1"/>
    <w:rsid w:val="00100E82"/>
    <w:rsid w:val="001010EF"/>
    <w:rsid w:val="00101B56"/>
    <w:rsid w:val="00101C8E"/>
    <w:rsid w:val="0010229B"/>
    <w:rsid w:val="00102CAF"/>
    <w:rsid w:val="001036E5"/>
    <w:rsid w:val="00103EFE"/>
    <w:rsid w:val="0010419C"/>
    <w:rsid w:val="001041BB"/>
    <w:rsid w:val="001049F5"/>
    <w:rsid w:val="00104D0E"/>
    <w:rsid w:val="00104D85"/>
    <w:rsid w:val="00105610"/>
    <w:rsid w:val="001056D7"/>
    <w:rsid w:val="00105E24"/>
    <w:rsid w:val="00106812"/>
    <w:rsid w:val="001068DE"/>
    <w:rsid w:val="0010695F"/>
    <w:rsid w:val="00106AA7"/>
    <w:rsid w:val="00106B4E"/>
    <w:rsid w:val="0011099D"/>
    <w:rsid w:val="001110EB"/>
    <w:rsid w:val="0011119B"/>
    <w:rsid w:val="00111BF2"/>
    <w:rsid w:val="00112302"/>
    <w:rsid w:val="0011277E"/>
    <w:rsid w:val="00112E3E"/>
    <w:rsid w:val="00113157"/>
    <w:rsid w:val="00113731"/>
    <w:rsid w:val="001137EB"/>
    <w:rsid w:val="00114203"/>
    <w:rsid w:val="00114431"/>
    <w:rsid w:val="001149A6"/>
    <w:rsid w:val="00116787"/>
    <w:rsid w:val="00116EC7"/>
    <w:rsid w:val="00116FB1"/>
    <w:rsid w:val="00117037"/>
    <w:rsid w:val="0011745C"/>
    <w:rsid w:val="00117AE4"/>
    <w:rsid w:val="00117B83"/>
    <w:rsid w:val="00120253"/>
    <w:rsid w:val="00120274"/>
    <w:rsid w:val="00120BE8"/>
    <w:rsid w:val="001218EA"/>
    <w:rsid w:val="0012282C"/>
    <w:rsid w:val="00122904"/>
    <w:rsid w:val="00123496"/>
    <w:rsid w:val="0012365B"/>
    <w:rsid w:val="00123F7A"/>
    <w:rsid w:val="00124F03"/>
    <w:rsid w:val="001250BC"/>
    <w:rsid w:val="00125526"/>
    <w:rsid w:val="00125533"/>
    <w:rsid w:val="00125A28"/>
    <w:rsid w:val="001260E8"/>
    <w:rsid w:val="001261DF"/>
    <w:rsid w:val="00126277"/>
    <w:rsid w:val="001273E3"/>
    <w:rsid w:val="00127E7C"/>
    <w:rsid w:val="001301F0"/>
    <w:rsid w:val="00130E18"/>
    <w:rsid w:val="00131429"/>
    <w:rsid w:val="00131A50"/>
    <w:rsid w:val="00131D76"/>
    <w:rsid w:val="00132297"/>
    <w:rsid w:val="00132519"/>
    <w:rsid w:val="00132581"/>
    <w:rsid w:val="00132635"/>
    <w:rsid w:val="00132720"/>
    <w:rsid w:val="00132ABD"/>
    <w:rsid w:val="00133A6E"/>
    <w:rsid w:val="0013466E"/>
    <w:rsid w:val="001348A5"/>
    <w:rsid w:val="00134F6A"/>
    <w:rsid w:val="00135450"/>
    <w:rsid w:val="00135A91"/>
    <w:rsid w:val="00135BC2"/>
    <w:rsid w:val="00135E29"/>
    <w:rsid w:val="001360F6"/>
    <w:rsid w:val="001361A8"/>
    <w:rsid w:val="0013671C"/>
    <w:rsid w:val="001367C9"/>
    <w:rsid w:val="00136B3C"/>
    <w:rsid w:val="00136FA8"/>
    <w:rsid w:val="0014030C"/>
    <w:rsid w:val="001404E2"/>
    <w:rsid w:val="00140B11"/>
    <w:rsid w:val="00140B35"/>
    <w:rsid w:val="00140E7D"/>
    <w:rsid w:val="00140FB4"/>
    <w:rsid w:val="001417C1"/>
    <w:rsid w:val="00141DBE"/>
    <w:rsid w:val="00141E48"/>
    <w:rsid w:val="0014216A"/>
    <w:rsid w:val="00142868"/>
    <w:rsid w:val="00142923"/>
    <w:rsid w:val="00143300"/>
    <w:rsid w:val="0014343D"/>
    <w:rsid w:val="00143E5E"/>
    <w:rsid w:val="00143F1F"/>
    <w:rsid w:val="00143F96"/>
    <w:rsid w:val="001444FD"/>
    <w:rsid w:val="0014591A"/>
    <w:rsid w:val="00145FE1"/>
    <w:rsid w:val="001461C4"/>
    <w:rsid w:val="00146E33"/>
    <w:rsid w:val="00147542"/>
    <w:rsid w:val="00147914"/>
    <w:rsid w:val="00147ACC"/>
    <w:rsid w:val="00150120"/>
    <w:rsid w:val="0015014E"/>
    <w:rsid w:val="00150BA3"/>
    <w:rsid w:val="00150ED9"/>
    <w:rsid w:val="00151424"/>
    <w:rsid w:val="0015190C"/>
    <w:rsid w:val="00151E5A"/>
    <w:rsid w:val="001521C9"/>
    <w:rsid w:val="001522BF"/>
    <w:rsid w:val="00152934"/>
    <w:rsid w:val="00152EAC"/>
    <w:rsid w:val="00153454"/>
    <w:rsid w:val="001538F2"/>
    <w:rsid w:val="00153A8E"/>
    <w:rsid w:val="0015441C"/>
    <w:rsid w:val="00154CBB"/>
    <w:rsid w:val="0015510D"/>
    <w:rsid w:val="001554F5"/>
    <w:rsid w:val="0015646F"/>
    <w:rsid w:val="00156579"/>
    <w:rsid w:val="00156EC1"/>
    <w:rsid w:val="00157369"/>
    <w:rsid w:val="001574D3"/>
    <w:rsid w:val="00157A43"/>
    <w:rsid w:val="0016078A"/>
    <w:rsid w:val="001607FB"/>
    <w:rsid w:val="00160865"/>
    <w:rsid w:val="00160946"/>
    <w:rsid w:val="00161595"/>
    <w:rsid w:val="00161B0C"/>
    <w:rsid w:val="001622E6"/>
    <w:rsid w:val="0016254A"/>
    <w:rsid w:val="001631A0"/>
    <w:rsid w:val="001634FC"/>
    <w:rsid w:val="00163A53"/>
    <w:rsid w:val="00163D50"/>
    <w:rsid w:val="00164E3C"/>
    <w:rsid w:val="001650FE"/>
    <w:rsid w:val="001658D9"/>
    <w:rsid w:val="001659D6"/>
    <w:rsid w:val="00166659"/>
    <w:rsid w:val="00167210"/>
    <w:rsid w:val="0016746E"/>
    <w:rsid w:val="0016754A"/>
    <w:rsid w:val="00167C17"/>
    <w:rsid w:val="00167F3C"/>
    <w:rsid w:val="00170258"/>
    <w:rsid w:val="00171135"/>
    <w:rsid w:val="00171EE9"/>
    <w:rsid w:val="00172053"/>
    <w:rsid w:val="001725D6"/>
    <w:rsid w:val="0017263B"/>
    <w:rsid w:val="001733E0"/>
    <w:rsid w:val="00173748"/>
    <w:rsid w:val="00174466"/>
    <w:rsid w:val="00174F42"/>
    <w:rsid w:val="00174F47"/>
    <w:rsid w:val="00175373"/>
    <w:rsid w:val="00175977"/>
    <w:rsid w:val="00175F02"/>
    <w:rsid w:val="0017626A"/>
    <w:rsid w:val="0017677C"/>
    <w:rsid w:val="00176D05"/>
    <w:rsid w:val="001813B0"/>
    <w:rsid w:val="00182207"/>
    <w:rsid w:val="001829F9"/>
    <w:rsid w:val="001830E3"/>
    <w:rsid w:val="00183F8D"/>
    <w:rsid w:val="00184663"/>
    <w:rsid w:val="0018522E"/>
    <w:rsid w:val="00185A4E"/>
    <w:rsid w:val="00185F37"/>
    <w:rsid w:val="0018607D"/>
    <w:rsid w:val="00186240"/>
    <w:rsid w:val="001863A2"/>
    <w:rsid w:val="00186F76"/>
    <w:rsid w:val="001872BF"/>
    <w:rsid w:val="00187D04"/>
    <w:rsid w:val="00191049"/>
    <w:rsid w:val="00191956"/>
    <w:rsid w:val="00191D16"/>
    <w:rsid w:val="001923FD"/>
    <w:rsid w:val="00192B2C"/>
    <w:rsid w:val="00192DC1"/>
    <w:rsid w:val="00193750"/>
    <w:rsid w:val="001937DC"/>
    <w:rsid w:val="00193DE8"/>
    <w:rsid w:val="00194481"/>
    <w:rsid w:val="0019471D"/>
    <w:rsid w:val="00195DE1"/>
    <w:rsid w:val="0019631A"/>
    <w:rsid w:val="001963AB"/>
    <w:rsid w:val="00196639"/>
    <w:rsid w:val="0019696F"/>
    <w:rsid w:val="00196BB1"/>
    <w:rsid w:val="001973A1"/>
    <w:rsid w:val="0019776D"/>
    <w:rsid w:val="001A0A2D"/>
    <w:rsid w:val="001A0DAD"/>
    <w:rsid w:val="001A1225"/>
    <w:rsid w:val="001A141D"/>
    <w:rsid w:val="001A2025"/>
    <w:rsid w:val="001A2F47"/>
    <w:rsid w:val="001A31FB"/>
    <w:rsid w:val="001A5059"/>
    <w:rsid w:val="001A5841"/>
    <w:rsid w:val="001A69B1"/>
    <w:rsid w:val="001A6F7E"/>
    <w:rsid w:val="001A7111"/>
    <w:rsid w:val="001A76E7"/>
    <w:rsid w:val="001A7FFC"/>
    <w:rsid w:val="001B08B4"/>
    <w:rsid w:val="001B0955"/>
    <w:rsid w:val="001B0F8F"/>
    <w:rsid w:val="001B156C"/>
    <w:rsid w:val="001B2322"/>
    <w:rsid w:val="001B3FAB"/>
    <w:rsid w:val="001B4097"/>
    <w:rsid w:val="001B42B3"/>
    <w:rsid w:val="001B4573"/>
    <w:rsid w:val="001B4685"/>
    <w:rsid w:val="001B4C15"/>
    <w:rsid w:val="001B5349"/>
    <w:rsid w:val="001B5ADA"/>
    <w:rsid w:val="001B6A05"/>
    <w:rsid w:val="001B6A16"/>
    <w:rsid w:val="001B6A17"/>
    <w:rsid w:val="001B6D8B"/>
    <w:rsid w:val="001B6F5C"/>
    <w:rsid w:val="001B778F"/>
    <w:rsid w:val="001B79B2"/>
    <w:rsid w:val="001C127E"/>
    <w:rsid w:val="001C17CA"/>
    <w:rsid w:val="001C22A8"/>
    <w:rsid w:val="001C238F"/>
    <w:rsid w:val="001C4275"/>
    <w:rsid w:val="001C47E8"/>
    <w:rsid w:val="001C4DDB"/>
    <w:rsid w:val="001C4DF3"/>
    <w:rsid w:val="001C4F71"/>
    <w:rsid w:val="001C5607"/>
    <w:rsid w:val="001C5894"/>
    <w:rsid w:val="001C5DA5"/>
    <w:rsid w:val="001C6168"/>
    <w:rsid w:val="001C653D"/>
    <w:rsid w:val="001C7302"/>
    <w:rsid w:val="001C795B"/>
    <w:rsid w:val="001C7E66"/>
    <w:rsid w:val="001D000F"/>
    <w:rsid w:val="001D00E8"/>
    <w:rsid w:val="001D041A"/>
    <w:rsid w:val="001D0969"/>
    <w:rsid w:val="001D0D60"/>
    <w:rsid w:val="001D1182"/>
    <w:rsid w:val="001D139B"/>
    <w:rsid w:val="001D1D2F"/>
    <w:rsid w:val="001D23BC"/>
    <w:rsid w:val="001D2810"/>
    <w:rsid w:val="001D2CBA"/>
    <w:rsid w:val="001D2DBD"/>
    <w:rsid w:val="001D3BEB"/>
    <w:rsid w:val="001D3ED5"/>
    <w:rsid w:val="001D45E8"/>
    <w:rsid w:val="001D55C7"/>
    <w:rsid w:val="001D5C64"/>
    <w:rsid w:val="001D71E9"/>
    <w:rsid w:val="001D7259"/>
    <w:rsid w:val="001D72E2"/>
    <w:rsid w:val="001E069F"/>
    <w:rsid w:val="001E0989"/>
    <w:rsid w:val="001E1567"/>
    <w:rsid w:val="001E1892"/>
    <w:rsid w:val="001E195D"/>
    <w:rsid w:val="001E1A77"/>
    <w:rsid w:val="001E29BA"/>
    <w:rsid w:val="001E2A8B"/>
    <w:rsid w:val="001E2B13"/>
    <w:rsid w:val="001E2D17"/>
    <w:rsid w:val="001E486E"/>
    <w:rsid w:val="001E4AD3"/>
    <w:rsid w:val="001E4F32"/>
    <w:rsid w:val="001E4FF8"/>
    <w:rsid w:val="001E53EB"/>
    <w:rsid w:val="001E5670"/>
    <w:rsid w:val="001E58DF"/>
    <w:rsid w:val="001E6744"/>
    <w:rsid w:val="001E71CB"/>
    <w:rsid w:val="001E71F8"/>
    <w:rsid w:val="001E7272"/>
    <w:rsid w:val="001F08B8"/>
    <w:rsid w:val="001F1E17"/>
    <w:rsid w:val="001F2307"/>
    <w:rsid w:val="001F24F9"/>
    <w:rsid w:val="001F28BB"/>
    <w:rsid w:val="001F31EA"/>
    <w:rsid w:val="001F33BC"/>
    <w:rsid w:val="001F384F"/>
    <w:rsid w:val="001F3D5D"/>
    <w:rsid w:val="001F418A"/>
    <w:rsid w:val="001F41F4"/>
    <w:rsid w:val="001F4441"/>
    <w:rsid w:val="001F44CB"/>
    <w:rsid w:val="001F47D1"/>
    <w:rsid w:val="001F4B04"/>
    <w:rsid w:val="001F4E1D"/>
    <w:rsid w:val="001F54CE"/>
    <w:rsid w:val="001F57BA"/>
    <w:rsid w:val="001F6B8D"/>
    <w:rsid w:val="001F7499"/>
    <w:rsid w:val="002000EF"/>
    <w:rsid w:val="00200536"/>
    <w:rsid w:val="00201185"/>
    <w:rsid w:val="002016F0"/>
    <w:rsid w:val="00201841"/>
    <w:rsid w:val="00203068"/>
    <w:rsid w:val="00203156"/>
    <w:rsid w:val="002048CF"/>
    <w:rsid w:val="00204B02"/>
    <w:rsid w:val="00204EE8"/>
    <w:rsid w:val="0020538A"/>
    <w:rsid w:val="002058C4"/>
    <w:rsid w:val="00205E57"/>
    <w:rsid w:val="00205E90"/>
    <w:rsid w:val="002062BB"/>
    <w:rsid w:val="002066CC"/>
    <w:rsid w:val="00206868"/>
    <w:rsid w:val="002075E8"/>
    <w:rsid w:val="00207908"/>
    <w:rsid w:val="00207A27"/>
    <w:rsid w:val="002111B9"/>
    <w:rsid w:val="00211255"/>
    <w:rsid w:val="002125EA"/>
    <w:rsid w:val="002128FE"/>
    <w:rsid w:val="002129CC"/>
    <w:rsid w:val="00213118"/>
    <w:rsid w:val="0021318A"/>
    <w:rsid w:val="002133CD"/>
    <w:rsid w:val="0021462E"/>
    <w:rsid w:val="00214697"/>
    <w:rsid w:val="0021538B"/>
    <w:rsid w:val="002156D9"/>
    <w:rsid w:val="00215A32"/>
    <w:rsid w:val="00216108"/>
    <w:rsid w:val="00216292"/>
    <w:rsid w:val="002164FE"/>
    <w:rsid w:val="00217E26"/>
    <w:rsid w:val="002201BE"/>
    <w:rsid w:val="0022028A"/>
    <w:rsid w:val="002206EF"/>
    <w:rsid w:val="0022074D"/>
    <w:rsid w:val="00220C5E"/>
    <w:rsid w:val="002213AD"/>
    <w:rsid w:val="00221404"/>
    <w:rsid w:val="00221561"/>
    <w:rsid w:val="00221B5C"/>
    <w:rsid w:val="00221B7B"/>
    <w:rsid w:val="00221EE4"/>
    <w:rsid w:val="002222D1"/>
    <w:rsid w:val="002222EA"/>
    <w:rsid w:val="0022238A"/>
    <w:rsid w:val="002224E9"/>
    <w:rsid w:val="002243D0"/>
    <w:rsid w:val="002247A3"/>
    <w:rsid w:val="00224A6C"/>
    <w:rsid w:val="00225581"/>
    <w:rsid w:val="002262C9"/>
    <w:rsid w:val="002266D3"/>
    <w:rsid w:val="00226A26"/>
    <w:rsid w:val="00226EB9"/>
    <w:rsid w:val="00227104"/>
    <w:rsid w:val="002273B3"/>
    <w:rsid w:val="002279DB"/>
    <w:rsid w:val="00230C74"/>
    <w:rsid w:val="002310D5"/>
    <w:rsid w:val="002312E8"/>
    <w:rsid w:val="002313AC"/>
    <w:rsid w:val="00231F91"/>
    <w:rsid w:val="0023213B"/>
    <w:rsid w:val="00232CC6"/>
    <w:rsid w:val="0023315E"/>
    <w:rsid w:val="002331E4"/>
    <w:rsid w:val="00233257"/>
    <w:rsid w:val="002332E6"/>
    <w:rsid w:val="00234152"/>
    <w:rsid w:val="00234572"/>
    <w:rsid w:val="00234713"/>
    <w:rsid w:val="00234B7F"/>
    <w:rsid w:val="00235413"/>
    <w:rsid w:val="002354D7"/>
    <w:rsid w:val="00235822"/>
    <w:rsid w:val="0023588E"/>
    <w:rsid w:val="002358A2"/>
    <w:rsid w:val="00236802"/>
    <w:rsid w:val="002377B0"/>
    <w:rsid w:val="00237BFE"/>
    <w:rsid w:val="0024053C"/>
    <w:rsid w:val="00240C3D"/>
    <w:rsid w:val="00241BB6"/>
    <w:rsid w:val="00241D3E"/>
    <w:rsid w:val="002424E5"/>
    <w:rsid w:val="002429EF"/>
    <w:rsid w:val="00242E03"/>
    <w:rsid w:val="00242EBC"/>
    <w:rsid w:val="00243220"/>
    <w:rsid w:val="002432AE"/>
    <w:rsid w:val="0024397A"/>
    <w:rsid w:val="00243D20"/>
    <w:rsid w:val="002441D8"/>
    <w:rsid w:val="002444AE"/>
    <w:rsid w:val="00245773"/>
    <w:rsid w:val="002460A9"/>
    <w:rsid w:val="00246617"/>
    <w:rsid w:val="00246AB3"/>
    <w:rsid w:val="00246BDA"/>
    <w:rsid w:val="00247972"/>
    <w:rsid w:val="00247DF0"/>
    <w:rsid w:val="00250170"/>
    <w:rsid w:val="00251CC4"/>
    <w:rsid w:val="00252198"/>
    <w:rsid w:val="002522C0"/>
    <w:rsid w:val="00252FEF"/>
    <w:rsid w:val="002537F5"/>
    <w:rsid w:val="0025380B"/>
    <w:rsid w:val="00253D43"/>
    <w:rsid w:val="0025491D"/>
    <w:rsid w:val="00255370"/>
    <w:rsid w:val="0025564A"/>
    <w:rsid w:val="002558DB"/>
    <w:rsid w:val="00255999"/>
    <w:rsid w:val="00257242"/>
    <w:rsid w:val="002577A4"/>
    <w:rsid w:val="00257C16"/>
    <w:rsid w:val="00260415"/>
    <w:rsid w:val="002604E5"/>
    <w:rsid w:val="00261597"/>
    <w:rsid w:val="00261710"/>
    <w:rsid w:val="002619E8"/>
    <w:rsid w:val="00261D07"/>
    <w:rsid w:val="00261EE8"/>
    <w:rsid w:val="00261FE2"/>
    <w:rsid w:val="0026256A"/>
    <w:rsid w:val="00262793"/>
    <w:rsid w:val="00262AF1"/>
    <w:rsid w:val="00262F79"/>
    <w:rsid w:val="00263355"/>
    <w:rsid w:val="00263BFC"/>
    <w:rsid w:val="002643BA"/>
    <w:rsid w:val="00264C6B"/>
    <w:rsid w:val="00264F40"/>
    <w:rsid w:val="00265011"/>
    <w:rsid w:val="00265100"/>
    <w:rsid w:val="00265587"/>
    <w:rsid w:val="002667F2"/>
    <w:rsid w:val="00267B49"/>
    <w:rsid w:val="002708C7"/>
    <w:rsid w:val="002708D2"/>
    <w:rsid w:val="00270C18"/>
    <w:rsid w:val="002710F3"/>
    <w:rsid w:val="00271479"/>
    <w:rsid w:val="002714A1"/>
    <w:rsid w:val="00271A65"/>
    <w:rsid w:val="00271B3E"/>
    <w:rsid w:val="002724A1"/>
    <w:rsid w:val="00272BA5"/>
    <w:rsid w:val="002732E8"/>
    <w:rsid w:val="002734B2"/>
    <w:rsid w:val="00273507"/>
    <w:rsid w:val="00273628"/>
    <w:rsid w:val="002737BD"/>
    <w:rsid w:val="00273821"/>
    <w:rsid w:val="002743F5"/>
    <w:rsid w:val="00274B16"/>
    <w:rsid w:val="00274D30"/>
    <w:rsid w:val="0027503A"/>
    <w:rsid w:val="002750D6"/>
    <w:rsid w:val="00275185"/>
    <w:rsid w:val="00275241"/>
    <w:rsid w:val="002754C9"/>
    <w:rsid w:val="00276418"/>
    <w:rsid w:val="002764F8"/>
    <w:rsid w:val="00276500"/>
    <w:rsid w:val="00276668"/>
    <w:rsid w:val="00276A28"/>
    <w:rsid w:val="002770B7"/>
    <w:rsid w:val="00277270"/>
    <w:rsid w:val="002801D5"/>
    <w:rsid w:val="002802B2"/>
    <w:rsid w:val="00280989"/>
    <w:rsid w:val="00281283"/>
    <w:rsid w:val="0028180C"/>
    <w:rsid w:val="00281C5D"/>
    <w:rsid w:val="00282430"/>
    <w:rsid w:val="002827F0"/>
    <w:rsid w:val="0028332C"/>
    <w:rsid w:val="00284BE1"/>
    <w:rsid w:val="00284C52"/>
    <w:rsid w:val="00285621"/>
    <w:rsid w:val="002859ED"/>
    <w:rsid w:val="002860A4"/>
    <w:rsid w:val="00286234"/>
    <w:rsid w:val="00286D34"/>
    <w:rsid w:val="00286E30"/>
    <w:rsid w:val="0029112B"/>
    <w:rsid w:val="00291352"/>
    <w:rsid w:val="00291434"/>
    <w:rsid w:val="00291EF5"/>
    <w:rsid w:val="00292016"/>
    <w:rsid w:val="002926A8"/>
    <w:rsid w:val="002927DB"/>
    <w:rsid w:val="00292B11"/>
    <w:rsid w:val="00292D12"/>
    <w:rsid w:val="00292F08"/>
    <w:rsid w:val="00292FFC"/>
    <w:rsid w:val="00293C1A"/>
    <w:rsid w:val="00293C3A"/>
    <w:rsid w:val="00294A10"/>
    <w:rsid w:val="00294DE8"/>
    <w:rsid w:val="002951F8"/>
    <w:rsid w:val="00295920"/>
    <w:rsid w:val="00295BD5"/>
    <w:rsid w:val="002965EA"/>
    <w:rsid w:val="00296BDB"/>
    <w:rsid w:val="00296D5B"/>
    <w:rsid w:val="00297100"/>
    <w:rsid w:val="00297C6F"/>
    <w:rsid w:val="002A0906"/>
    <w:rsid w:val="002A0CA3"/>
    <w:rsid w:val="002A0E1C"/>
    <w:rsid w:val="002A1CDB"/>
    <w:rsid w:val="002A2FAC"/>
    <w:rsid w:val="002A300C"/>
    <w:rsid w:val="002A3939"/>
    <w:rsid w:val="002A3B42"/>
    <w:rsid w:val="002A3EA6"/>
    <w:rsid w:val="002A44C2"/>
    <w:rsid w:val="002A4FAC"/>
    <w:rsid w:val="002A50CE"/>
    <w:rsid w:val="002A515E"/>
    <w:rsid w:val="002A5E9E"/>
    <w:rsid w:val="002A6473"/>
    <w:rsid w:val="002A67F5"/>
    <w:rsid w:val="002A6AAC"/>
    <w:rsid w:val="002A6CD4"/>
    <w:rsid w:val="002A7514"/>
    <w:rsid w:val="002A7E40"/>
    <w:rsid w:val="002B0BC4"/>
    <w:rsid w:val="002B0BF5"/>
    <w:rsid w:val="002B0C70"/>
    <w:rsid w:val="002B1079"/>
    <w:rsid w:val="002B18C8"/>
    <w:rsid w:val="002B1CCD"/>
    <w:rsid w:val="002B20A5"/>
    <w:rsid w:val="002B33E9"/>
    <w:rsid w:val="002B355E"/>
    <w:rsid w:val="002B419F"/>
    <w:rsid w:val="002B4CA3"/>
    <w:rsid w:val="002B4F2C"/>
    <w:rsid w:val="002B52BF"/>
    <w:rsid w:val="002B5C89"/>
    <w:rsid w:val="002B611E"/>
    <w:rsid w:val="002B63E8"/>
    <w:rsid w:val="002B69AF"/>
    <w:rsid w:val="002B6AB2"/>
    <w:rsid w:val="002B6F71"/>
    <w:rsid w:val="002B7BA9"/>
    <w:rsid w:val="002B7D11"/>
    <w:rsid w:val="002B7D6D"/>
    <w:rsid w:val="002C053D"/>
    <w:rsid w:val="002C0D85"/>
    <w:rsid w:val="002C102E"/>
    <w:rsid w:val="002C1544"/>
    <w:rsid w:val="002C1708"/>
    <w:rsid w:val="002C222E"/>
    <w:rsid w:val="002C28B6"/>
    <w:rsid w:val="002C2D68"/>
    <w:rsid w:val="002C2F13"/>
    <w:rsid w:val="002C31DC"/>
    <w:rsid w:val="002C3787"/>
    <w:rsid w:val="002C3BC2"/>
    <w:rsid w:val="002C47EF"/>
    <w:rsid w:val="002C51C1"/>
    <w:rsid w:val="002C58BF"/>
    <w:rsid w:val="002C69AE"/>
    <w:rsid w:val="002C6B21"/>
    <w:rsid w:val="002C6BB6"/>
    <w:rsid w:val="002C705C"/>
    <w:rsid w:val="002D0530"/>
    <w:rsid w:val="002D076F"/>
    <w:rsid w:val="002D0AA0"/>
    <w:rsid w:val="002D0AD3"/>
    <w:rsid w:val="002D0CEE"/>
    <w:rsid w:val="002D11C3"/>
    <w:rsid w:val="002D1399"/>
    <w:rsid w:val="002D2261"/>
    <w:rsid w:val="002D230A"/>
    <w:rsid w:val="002D24F2"/>
    <w:rsid w:val="002D266A"/>
    <w:rsid w:val="002D2A6C"/>
    <w:rsid w:val="002D2B08"/>
    <w:rsid w:val="002D357A"/>
    <w:rsid w:val="002D40B9"/>
    <w:rsid w:val="002D469A"/>
    <w:rsid w:val="002D502E"/>
    <w:rsid w:val="002D5515"/>
    <w:rsid w:val="002D5F32"/>
    <w:rsid w:val="002D6230"/>
    <w:rsid w:val="002D628C"/>
    <w:rsid w:val="002D65C6"/>
    <w:rsid w:val="002D6718"/>
    <w:rsid w:val="002D6E3A"/>
    <w:rsid w:val="002D7103"/>
    <w:rsid w:val="002D7508"/>
    <w:rsid w:val="002D7873"/>
    <w:rsid w:val="002E00E1"/>
    <w:rsid w:val="002E0D1B"/>
    <w:rsid w:val="002E134A"/>
    <w:rsid w:val="002E1696"/>
    <w:rsid w:val="002E1ABE"/>
    <w:rsid w:val="002E2217"/>
    <w:rsid w:val="002E265D"/>
    <w:rsid w:val="002E26E0"/>
    <w:rsid w:val="002E28EB"/>
    <w:rsid w:val="002E290F"/>
    <w:rsid w:val="002E2989"/>
    <w:rsid w:val="002E29A7"/>
    <w:rsid w:val="002E3949"/>
    <w:rsid w:val="002E3A3B"/>
    <w:rsid w:val="002E3AAB"/>
    <w:rsid w:val="002E4415"/>
    <w:rsid w:val="002E45B9"/>
    <w:rsid w:val="002E547F"/>
    <w:rsid w:val="002E5CF5"/>
    <w:rsid w:val="002E5EAE"/>
    <w:rsid w:val="002E6985"/>
    <w:rsid w:val="002E7BF2"/>
    <w:rsid w:val="002F0327"/>
    <w:rsid w:val="002F049D"/>
    <w:rsid w:val="002F0A42"/>
    <w:rsid w:val="002F1127"/>
    <w:rsid w:val="002F17BA"/>
    <w:rsid w:val="002F185A"/>
    <w:rsid w:val="002F1E41"/>
    <w:rsid w:val="002F230F"/>
    <w:rsid w:val="002F2F80"/>
    <w:rsid w:val="002F363F"/>
    <w:rsid w:val="002F3D8D"/>
    <w:rsid w:val="002F3DB9"/>
    <w:rsid w:val="002F4161"/>
    <w:rsid w:val="002F451C"/>
    <w:rsid w:val="002F47D4"/>
    <w:rsid w:val="002F48D4"/>
    <w:rsid w:val="002F49E0"/>
    <w:rsid w:val="002F54C9"/>
    <w:rsid w:val="002F566B"/>
    <w:rsid w:val="002F5741"/>
    <w:rsid w:val="002F58E8"/>
    <w:rsid w:val="002F65BB"/>
    <w:rsid w:val="002F6978"/>
    <w:rsid w:val="002F6F16"/>
    <w:rsid w:val="002F7121"/>
    <w:rsid w:val="002F7255"/>
    <w:rsid w:val="002F7781"/>
    <w:rsid w:val="002F7782"/>
    <w:rsid w:val="002F77D9"/>
    <w:rsid w:val="00300574"/>
    <w:rsid w:val="00301123"/>
    <w:rsid w:val="0030164E"/>
    <w:rsid w:val="0030181B"/>
    <w:rsid w:val="0030217C"/>
    <w:rsid w:val="003024D4"/>
    <w:rsid w:val="00302B54"/>
    <w:rsid w:val="00303426"/>
    <w:rsid w:val="00303E91"/>
    <w:rsid w:val="00304471"/>
    <w:rsid w:val="003045F4"/>
    <w:rsid w:val="00304BB2"/>
    <w:rsid w:val="00304E54"/>
    <w:rsid w:val="00304EFD"/>
    <w:rsid w:val="003055FB"/>
    <w:rsid w:val="0030574F"/>
    <w:rsid w:val="003060E1"/>
    <w:rsid w:val="00306202"/>
    <w:rsid w:val="00306997"/>
    <w:rsid w:val="00306CD4"/>
    <w:rsid w:val="0030732E"/>
    <w:rsid w:val="00307387"/>
    <w:rsid w:val="003101B6"/>
    <w:rsid w:val="00310B6C"/>
    <w:rsid w:val="00311857"/>
    <w:rsid w:val="00311964"/>
    <w:rsid w:val="00311D52"/>
    <w:rsid w:val="0031235D"/>
    <w:rsid w:val="00312614"/>
    <w:rsid w:val="00312853"/>
    <w:rsid w:val="0031374E"/>
    <w:rsid w:val="003149EB"/>
    <w:rsid w:val="00314AA5"/>
    <w:rsid w:val="00314EDF"/>
    <w:rsid w:val="0031544A"/>
    <w:rsid w:val="00315BE0"/>
    <w:rsid w:val="00315D82"/>
    <w:rsid w:val="00315DAC"/>
    <w:rsid w:val="00316B0F"/>
    <w:rsid w:val="00317100"/>
    <w:rsid w:val="0031716E"/>
    <w:rsid w:val="003176B8"/>
    <w:rsid w:val="00320730"/>
    <w:rsid w:val="00320E9D"/>
    <w:rsid w:val="0032101E"/>
    <w:rsid w:val="00321492"/>
    <w:rsid w:val="003237A4"/>
    <w:rsid w:val="00323BE3"/>
    <w:rsid w:val="00323D3B"/>
    <w:rsid w:val="00323DB9"/>
    <w:rsid w:val="003244EC"/>
    <w:rsid w:val="00324967"/>
    <w:rsid w:val="00324C45"/>
    <w:rsid w:val="00324E68"/>
    <w:rsid w:val="00325462"/>
    <w:rsid w:val="0032578D"/>
    <w:rsid w:val="00325BAE"/>
    <w:rsid w:val="00325C0B"/>
    <w:rsid w:val="00326055"/>
    <w:rsid w:val="00326388"/>
    <w:rsid w:val="00327233"/>
    <w:rsid w:val="00327262"/>
    <w:rsid w:val="003302F4"/>
    <w:rsid w:val="003307C3"/>
    <w:rsid w:val="00330B5C"/>
    <w:rsid w:val="00331502"/>
    <w:rsid w:val="00331797"/>
    <w:rsid w:val="00331E0D"/>
    <w:rsid w:val="003332E2"/>
    <w:rsid w:val="00333615"/>
    <w:rsid w:val="00333CBA"/>
    <w:rsid w:val="00333E37"/>
    <w:rsid w:val="00334352"/>
    <w:rsid w:val="00334BC5"/>
    <w:rsid w:val="00334CE2"/>
    <w:rsid w:val="00335230"/>
    <w:rsid w:val="00335393"/>
    <w:rsid w:val="00335DB9"/>
    <w:rsid w:val="00335FBE"/>
    <w:rsid w:val="00335FE5"/>
    <w:rsid w:val="00337969"/>
    <w:rsid w:val="00337C91"/>
    <w:rsid w:val="00337F41"/>
    <w:rsid w:val="00337F65"/>
    <w:rsid w:val="00340DE8"/>
    <w:rsid w:val="003413F0"/>
    <w:rsid w:val="003416AF"/>
    <w:rsid w:val="003417F7"/>
    <w:rsid w:val="00341DDE"/>
    <w:rsid w:val="00342EB6"/>
    <w:rsid w:val="003434C4"/>
    <w:rsid w:val="003439F9"/>
    <w:rsid w:val="00343A07"/>
    <w:rsid w:val="00343B67"/>
    <w:rsid w:val="00344655"/>
    <w:rsid w:val="00345447"/>
    <w:rsid w:val="00346A9B"/>
    <w:rsid w:val="00346E7A"/>
    <w:rsid w:val="00347261"/>
    <w:rsid w:val="003474A9"/>
    <w:rsid w:val="0034753A"/>
    <w:rsid w:val="0035015E"/>
    <w:rsid w:val="0035049D"/>
    <w:rsid w:val="003505E5"/>
    <w:rsid w:val="0035109E"/>
    <w:rsid w:val="00351127"/>
    <w:rsid w:val="00351169"/>
    <w:rsid w:val="003514B3"/>
    <w:rsid w:val="00351FCF"/>
    <w:rsid w:val="00352A3F"/>
    <w:rsid w:val="00352B8D"/>
    <w:rsid w:val="00352E72"/>
    <w:rsid w:val="003532CE"/>
    <w:rsid w:val="00353DDD"/>
    <w:rsid w:val="0035404A"/>
    <w:rsid w:val="00354127"/>
    <w:rsid w:val="0035496E"/>
    <w:rsid w:val="00354B90"/>
    <w:rsid w:val="00354D69"/>
    <w:rsid w:val="00354D9C"/>
    <w:rsid w:val="003550DE"/>
    <w:rsid w:val="003555D4"/>
    <w:rsid w:val="00355C9B"/>
    <w:rsid w:val="00355CCD"/>
    <w:rsid w:val="0035602A"/>
    <w:rsid w:val="003564CD"/>
    <w:rsid w:val="00357544"/>
    <w:rsid w:val="0035773C"/>
    <w:rsid w:val="003602D0"/>
    <w:rsid w:val="00360A39"/>
    <w:rsid w:val="0036143D"/>
    <w:rsid w:val="00361480"/>
    <w:rsid w:val="00361BB1"/>
    <w:rsid w:val="00361DF9"/>
    <w:rsid w:val="00362075"/>
    <w:rsid w:val="0036217E"/>
    <w:rsid w:val="00363673"/>
    <w:rsid w:val="00364008"/>
    <w:rsid w:val="0036480C"/>
    <w:rsid w:val="00364F36"/>
    <w:rsid w:val="003656C4"/>
    <w:rsid w:val="00366B5B"/>
    <w:rsid w:val="00367107"/>
    <w:rsid w:val="00367150"/>
    <w:rsid w:val="003677ED"/>
    <w:rsid w:val="00367C09"/>
    <w:rsid w:val="00367FCB"/>
    <w:rsid w:val="003702F3"/>
    <w:rsid w:val="00370C93"/>
    <w:rsid w:val="00371170"/>
    <w:rsid w:val="00371850"/>
    <w:rsid w:val="00371E13"/>
    <w:rsid w:val="00372575"/>
    <w:rsid w:val="00372C2A"/>
    <w:rsid w:val="003731CF"/>
    <w:rsid w:val="003739C9"/>
    <w:rsid w:val="00373DF9"/>
    <w:rsid w:val="00375349"/>
    <w:rsid w:val="0037620E"/>
    <w:rsid w:val="0037670A"/>
    <w:rsid w:val="003772C7"/>
    <w:rsid w:val="003772D8"/>
    <w:rsid w:val="00377FA2"/>
    <w:rsid w:val="0038034C"/>
    <w:rsid w:val="00380856"/>
    <w:rsid w:val="00380FD1"/>
    <w:rsid w:val="0038120B"/>
    <w:rsid w:val="00381FEA"/>
    <w:rsid w:val="00382284"/>
    <w:rsid w:val="00383C3E"/>
    <w:rsid w:val="00384049"/>
    <w:rsid w:val="003842BE"/>
    <w:rsid w:val="003843DE"/>
    <w:rsid w:val="00385833"/>
    <w:rsid w:val="00385C53"/>
    <w:rsid w:val="00385E74"/>
    <w:rsid w:val="00386019"/>
    <w:rsid w:val="003862A8"/>
    <w:rsid w:val="00386354"/>
    <w:rsid w:val="00386AEA"/>
    <w:rsid w:val="00387224"/>
    <w:rsid w:val="00387333"/>
    <w:rsid w:val="003878DD"/>
    <w:rsid w:val="00387C75"/>
    <w:rsid w:val="0039023B"/>
    <w:rsid w:val="00390461"/>
    <w:rsid w:val="00390571"/>
    <w:rsid w:val="003913A3"/>
    <w:rsid w:val="003916EE"/>
    <w:rsid w:val="00391FAB"/>
    <w:rsid w:val="00392029"/>
    <w:rsid w:val="00392044"/>
    <w:rsid w:val="00392371"/>
    <w:rsid w:val="00392626"/>
    <w:rsid w:val="0039281A"/>
    <w:rsid w:val="00392AD4"/>
    <w:rsid w:val="00392B41"/>
    <w:rsid w:val="0039429D"/>
    <w:rsid w:val="00394315"/>
    <w:rsid w:val="00394630"/>
    <w:rsid w:val="003946BF"/>
    <w:rsid w:val="00394788"/>
    <w:rsid w:val="00394FBF"/>
    <w:rsid w:val="003954E5"/>
    <w:rsid w:val="003955EF"/>
    <w:rsid w:val="0039574D"/>
    <w:rsid w:val="0039715D"/>
    <w:rsid w:val="00397C1A"/>
    <w:rsid w:val="003A0081"/>
    <w:rsid w:val="003A2045"/>
    <w:rsid w:val="003A23F7"/>
    <w:rsid w:val="003A2543"/>
    <w:rsid w:val="003A2B4A"/>
    <w:rsid w:val="003A3052"/>
    <w:rsid w:val="003A34D6"/>
    <w:rsid w:val="003A3CA1"/>
    <w:rsid w:val="003A3DB5"/>
    <w:rsid w:val="003A4154"/>
    <w:rsid w:val="003A4D00"/>
    <w:rsid w:val="003A4ECF"/>
    <w:rsid w:val="003A53CD"/>
    <w:rsid w:val="003A5B1A"/>
    <w:rsid w:val="003A6173"/>
    <w:rsid w:val="003A6AD9"/>
    <w:rsid w:val="003A7534"/>
    <w:rsid w:val="003A772D"/>
    <w:rsid w:val="003B0C4E"/>
    <w:rsid w:val="003B0C8C"/>
    <w:rsid w:val="003B141D"/>
    <w:rsid w:val="003B198D"/>
    <w:rsid w:val="003B1A4B"/>
    <w:rsid w:val="003B21B3"/>
    <w:rsid w:val="003B246A"/>
    <w:rsid w:val="003B2A50"/>
    <w:rsid w:val="003B2C06"/>
    <w:rsid w:val="003B2C7F"/>
    <w:rsid w:val="003B397A"/>
    <w:rsid w:val="003B4089"/>
    <w:rsid w:val="003B4E59"/>
    <w:rsid w:val="003B5366"/>
    <w:rsid w:val="003B57AB"/>
    <w:rsid w:val="003B5892"/>
    <w:rsid w:val="003B5CE7"/>
    <w:rsid w:val="003B5EB8"/>
    <w:rsid w:val="003B69F6"/>
    <w:rsid w:val="003B6DD3"/>
    <w:rsid w:val="003B7452"/>
    <w:rsid w:val="003B79DF"/>
    <w:rsid w:val="003C003A"/>
    <w:rsid w:val="003C01E3"/>
    <w:rsid w:val="003C0622"/>
    <w:rsid w:val="003C07D9"/>
    <w:rsid w:val="003C09FE"/>
    <w:rsid w:val="003C0E1C"/>
    <w:rsid w:val="003C1507"/>
    <w:rsid w:val="003C2087"/>
    <w:rsid w:val="003C20A5"/>
    <w:rsid w:val="003C286C"/>
    <w:rsid w:val="003C30F7"/>
    <w:rsid w:val="003C39CC"/>
    <w:rsid w:val="003C39EC"/>
    <w:rsid w:val="003C40FB"/>
    <w:rsid w:val="003C49D1"/>
    <w:rsid w:val="003C523A"/>
    <w:rsid w:val="003C5338"/>
    <w:rsid w:val="003C54E3"/>
    <w:rsid w:val="003C5BA3"/>
    <w:rsid w:val="003C5E02"/>
    <w:rsid w:val="003C6A55"/>
    <w:rsid w:val="003C6A99"/>
    <w:rsid w:val="003C6B8A"/>
    <w:rsid w:val="003C7DEA"/>
    <w:rsid w:val="003C7FD5"/>
    <w:rsid w:val="003D0BB2"/>
    <w:rsid w:val="003D151B"/>
    <w:rsid w:val="003D1577"/>
    <w:rsid w:val="003D1DED"/>
    <w:rsid w:val="003D332B"/>
    <w:rsid w:val="003D3650"/>
    <w:rsid w:val="003D3977"/>
    <w:rsid w:val="003D3C02"/>
    <w:rsid w:val="003D3F47"/>
    <w:rsid w:val="003D4C03"/>
    <w:rsid w:val="003D4F39"/>
    <w:rsid w:val="003D504B"/>
    <w:rsid w:val="003D53D8"/>
    <w:rsid w:val="003D55AE"/>
    <w:rsid w:val="003D55FB"/>
    <w:rsid w:val="003D569C"/>
    <w:rsid w:val="003D5FC7"/>
    <w:rsid w:val="003D652E"/>
    <w:rsid w:val="003D6E0B"/>
    <w:rsid w:val="003D746D"/>
    <w:rsid w:val="003D7A58"/>
    <w:rsid w:val="003D7FF5"/>
    <w:rsid w:val="003E0830"/>
    <w:rsid w:val="003E0AD8"/>
    <w:rsid w:val="003E0ADC"/>
    <w:rsid w:val="003E111B"/>
    <w:rsid w:val="003E1A95"/>
    <w:rsid w:val="003E1D5A"/>
    <w:rsid w:val="003E353E"/>
    <w:rsid w:val="003E36C7"/>
    <w:rsid w:val="003E36DF"/>
    <w:rsid w:val="003E37F9"/>
    <w:rsid w:val="003E45C8"/>
    <w:rsid w:val="003E5461"/>
    <w:rsid w:val="003E68B6"/>
    <w:rsid w:val="003E6B51"/>
    <w:rsid w:val="003E7025"/>
    <w:rsid w:val="003E71A6"/>
    <w:rsid w:val="003E7639"/>
    <w:rsid w:val="003E76B0"/>
    <w:rsid w:val="003E78C4"/>
    <w:rsid w:val="003F0590"/>
    <w:rsid w:val="003F071F"/>
    <w:rsid w:val="003F140D"/>
    <w:rsid w:val="003F16ED"/>
    <w:rsid w:val="003F209B"/>
    <w:rsid w:val="003F2118"/>
    <w:rsid w:val="003F3839"/>
    <w:rsid w:val="003F39DF"/>
    <w:rsid w:val="003F3E85"/>
    <w:rsid w:val="003F402A"/>
    <w:rsid w:val="003F47B3"/>
    <w:rsid w:val="003F47FB"/>
    <w:rsid w:val="003F5432"/>
    <w:rsid w:val="003F6111"/>
    <w:rsid w:val="003F62B4"/>
    <w:rsid w:val="003F6D5F"/>
    <w:rsid w:val="003F6E75"/>
    <w:rsid w:val="003F6F70"/>
    <w:rsid w:val="003F780B"/>
    <w:rsid w:val="003F7883"/>
    <w:rsid w:val="003F78C4"/>
    <w:rsid w:val="003F7958"/>
    <w:rsid w:val="003F7B30"/>
    <w:rsid w:val="00400254"/>
    <w:rsid w:val="00400588"/>
    <w:rsid w:val="00401A20"/>
    <w:rsid w:val="00402420"/>
    <w:rsid w:val="00402499"/>
    <w:rsid w:val="0040311B"/>
    <w:rsid w:val="00403A9B"/>
    <w:rsid w:val="004044CF"/>
    <w:rsid w:val="00405BB4"/>
    <w:rsid w:val="004063BD"/>
    <w:rsid w:val="004063D6"/>
    <w:rsid w:val="00406652"/>
    <w:rsid w:val="00406A1B"/>
    <w:rsid w:val="00406A6D"/>
    <w:rsid w:val="00407210"/>
    <w:rsid w:val="0040787E"/>
    <w:rsid w:val="004078C6"/>
    <w:rsid w:val="004078FD"/>
    <w:rsid w:val="00407CF8"/>
    <w:rsid w:val="004106D9"/>
    <w:rsid w:val="004107B3"/>
    <w:rsid w:val="00410A93"/>
    <w:rsid w:val="00410B5D"/>
    <w:rsid w:val="00410FE4"/>
    <w:rsid w:val="0041124D"/>
    <w:rsid w:val="0041134A"/>
    <w:rsid w:val="004113EA"/>
    <w:rsid w:val="004116B5"/>
    <w:rsid w:val="00411C50"/>
    <w:rsid w:val="0041238A"/>
    <w:rsid w:val="004125DE"/>
    <w:rsid w:val="00413304"/>
    <w:rsid w:val="00414139"/>
    <w:rsid w:val="00414E65"/>
    <w:rsid w:val="004150D3"/>
    <w:rsid w:val="0041542F"/>
    <w:rsid w:val="004167DC"/>
    <w:rsid w:val="004168DB"/>
    <w:rsid w:val="00417139"/>
    <w:rsid w:val="00417562"/>
    <w:rsid w:val="004175C6"/>
    <w:rsid w:val="0042021F"/>
    <w:rsid w:val="00420481"/>
    <w:rsid w:val="00420528"/>
    <w:rsid w:val="0042067A"/>
    <w:rsid w:val="004211D3"/>
    <w:rsid w:val="00421355"/>
    <w:rsid w:val="00421479"/>
    <w:rsid w:val="00421D06"/>
    <w:rsid w:val="00423679"/>
    <w:rsid w:val="00423C0A"/>
    <w:rsid w:val="00424155"/>
    <w:rsid w:val="00424274"/>
    <w:rsid w:val="004249E9"/>
    <w:rsid w:val="00424A6A"/>
    <w:rsid w:val="00425C83"/>
    <w:rsid w:val="00425D35"/>
    <w:rsid w:val="0042614B"/>
    <w:rsid w:val="004262AB"/>
    <w:rsid w:val="00427E4A"/>
    <w:rsid w:val="004300F5"/>
    <w:rsid w:val="00430152"/>
    <w:rsid w:val="00430624"/>
    <w:rsid w:val="00430D50"/>
    <w:rsid w:val="00431069"/>
    <w:rsid w:val="00431615"/>
    <w:rsid w:val="00431848"/>
    <w:rsid w:val="00431DF1"/>
    <w:rsid w:val="00432133"/>
    <w:rsid w:val="00432432"/>
    <w:rsid w:val="004325F9"/>
    <w:rsid w:val="004329F5"/>
    <w:rsid w:val="00432B38"/>
    <w:rsid w:val="00433283"/>
    <w:rsid w:val="004333A4"/>
    <w:rsid w:val="00433536"/>
    <w:rsid w:val="00433909"/>
    <w:rsid w:val="00433E50"/>
    <w:rsid w:val="00434206"/>
    <w:rsid w:val="00434824"/>
    <w:rsid w:val="004349B8"/>
    <w:rsid w:val="00434B8E"/>
    <w:rsid w:val="00434DBF"/>
    <w:rsid w:val="00434DDA"/>
    <w:rsid w:val="00434F96"/>
    <w:rsid w:val="00435525"/>
    <w:rsid w:val="004372FD"/>
    <w:rsid w:val="0043734A"/>
    <w:rsid w:val="00437364"/>
    <w:rsid w:val="00440428"/>
    <w:rsid w:val="0044181D"/>
    <w:rsid w:val="00441C09"/>
    <w:rsid w:val="00441D91"/>
    <w:rsid w:val="0044204C"/>
    <w:rsid w:val="00442489"/>
    <w:rsid w:val="00442F74"/>
    <w:rsid w:val="004434D9"/>
    <w:rsid w:val="00443F07"/>
    <w:rsid w:val="00444A52"/>
    <w:rsid w:val="00444C28"/>
    <w:rsid w:val="00445568"/>
    <w:rsid w:val="004459BE"/>
    <w:rsid w:val="00445B43"/>
    <w:rsid w:val="00446777"/>
    <w:rsid w:val="00447086"/>
    <w:rsid w:val="00447803"/>
    <w:rsid w:val="00447AF6"/>
    <w:rsid w:val="00447BC1"/>
    <w:rsid w:val="00447CE3"/>
    <w:rsid w:val="00447FEA"/>
    <w:rsid w:val="00450246"/>
    <w:rsid w:val="0045066A"/>
    <w:rsid w:val="00450AA0"/>
    <w:rsid w:val="0045173D"/>
    <w:rsid w:val="00452F12"/>
    <w:rsid w:val="00454582"/>
    <w:rsid w:val="00455909"/>
    <w:rsid w:val="0045611C"/>
    <w:rsid w:val="00456376"/>
    <w:rsid w:val="004565BA"/>
    <w:rsid w:val="00456CA1"/>
    <w:rsid w:val="00456F5E"/>
    <w:rsid w:val="00457FE6"/>
    <w:rsid w:val="0046042F"/>
    <w:rsid w:val="0046045E"/>
    <w:rsid w:val="004605DC"/>
    <w:rsid w:val="00460AD3"/>
    <w:rsid w:val="00461B16"/>
    <w:rsid w:val="00461DE2"/>
    <w:rsid w:val="00461EBD"/>
    <w:rsid w:val="00462C92"/>
    <w:rsid w:val="00462D0F"/>
    <w:rsid w:val="00462DF6"/>
    <w:rsid w:val="004632EF"/>
    <w:rsid w:val="00464085"/>
    <w:rsid w:val="0046562B"/>
    <w:rsid w:val="00465AA3"/>
    <w:rsid w:val="00465BF4"/>
    <w:rsid w:val="004662E1"/>
    <w:rsid w:val="00466468"/>
    <w:rsid w:val="00467C0C"/>
    <w:rsid w:val="00470C0C"/>
    <w:rsid w:val="00470F8D"/>
    <w:rsid w:val="004710C0"/>
    <w:rsid w:val="004713ED"/>
    <w:rsid w:val="00471A8B"/>
    <w:rsid w:val="00471FFB"/>
    <w:rsid w:val="004722E0"/>
    <w:rsid w:val="00472ECB"/>
    <w:rsid w:val="00474349"/>
    <w:rsid w:val="004743D2"/>
    <w:rsid w:val="004744B1"/>
    <w:rsid w:val="004744E3"/>
    <w:rsid w:val="004757C8"/>
    <w:rsid w:val="00476248"/>
    <w:rsid w:val="004769A8"/>
    <w:rsid w:val="00476ECD"/>
    <w:rsid w:val="00477645"/>
    <w:rsid w:val="004778BF"/>
    <w:rsid w:val="00477EE0"/>
    <w:rsid w:val="00480560"/>
    <w:rsid w:val="00480618"/>
    <w:rsid w:val="00480A2C"/>
    <w:rsid w:val="00480C42"/>
    <w:rsid w:val="00480E86"/>
    <w:rsid w:val="00481E23"/>
    <w:rsid w:val="004823EB"/>
    <w:rsid w:val="00482DE0"/>
    <w:rsid w:val="00483F59"/>
    <w:rsid w:val="00485020"/>
    <w:rsid w:val="004858B0"/>
    <w:rsid w:val="00485BEE"/>
    <w:rsid w:val="0048668F"/>
    <w:rsid w:val="00486C70"/>
    <w:rsid w:val="00486C8E"/>
    <w:rsid w:val="00486FEA"/>
    <w:rsid w:val="004872B7"/>
    <w:rsid w:val="0048732D"/>
    <w:rsid w:val="0048759A"/>
    <w:rsid w:val="00490157"/>
    <w:rsid w:val="00490A8E"/>
    <w:rsid w:val="00491979"/>
    <w:rsid w:val="00491BAA"/>
    <w:rsid w:val="00491BC9"/>
    <w:rsid w:val="00491BE0"/>
    <w:rsid w:val="004922A8"/>
    <w:rsid w:val="004928AB"/>
    <w:rsid w:val="00492AB3"/>
    <w:rsid w:val="004939B5"/>
    <w:rsid w:val="00494109"/>
    <w:rsid w:val="00494A20"/>
    <w:rsid w:val="00494B54"/>
    <w:rsid w:val="00494C8B"/>
    <w:rsid w:val="00495830"/>
    <w:rsid w:val="00495BAE"/>
    <w:rsid w:val="004960E3"/>
    <w:rsid w:val="0049632C"/>
    <w:rsid w:val="004973C8"/>
    <w:rsid w:val="00497923"/>
    <w:rsid w:val="00497A96"/>
    <w:rsid w:val="00497DCD"/>
    <w:rsid w:val="004A057F"/>
    <w:rsid w:val="004A06DC"/>
    <w:rsid w:val="004A0B31"/>
    <w:rsid w:val="004A1285"/>
    <w:rsid w:val="004A1786"/>
    <w:rsid w:val="004A1E40"/>
    <w:rsid w:val="004A2472"/>
    <w:rsid w:val="004A2648"/>
    <w:rsid w:val="004A297D"/>
    <w:rsid w:val="004A2A13"/>
    <w:rsid w:val="004A31B9"/>
    <w:rsid w:val="004A34CF"/>
    <w:rsid w:val="004A382D"/>
    <w:rsid w:val="004A397B"/>
    <w:rsid w:val="004A3C48"/>
    <w:rsid w:val="004A4693"/>
    <w:rsid w:val="004A47E0"/>
    <w:rsid w:val="004A4AF8"/>
    <w:rsid w:val="004A4CDD"/>
    <w:rsid w:val="004A4D62"/>
    <w:rsid w:val="004A4FEC"/>
    <w:rsid w:val="004A5FBF"/>
    <w:rsid w:val="004A63DE"/>
    <w:rsid w:val="004A6947"/>
    <w:rsid w:val="004A6FB0"/>
    <w:rsid w:val="004A7125"/>
    <w:rsid w:val="004A79AC"/>
    <w:rsid w:val="004A7A31"/>
    <w:rsid w:val="004A7E83"/>
    <w:rsid w:val="004B0A56"/>
    <w:rsid w:val="004B0E08"/>
    <w:rsid w:val="004B0F75"/>
    <w:rsid w:val="004B11A7"/>
    <w:rsid w:val="004B166F"/>
    <w:rsid w:val="004B2B00"/>
    <w:rsid w:val="004B2B28"/>
    <w:rsid w:val="004B3191"/>
    <w:rsid w:val="004B3277"/>
    <w:rsid w:val="004B33BC"/>
    <w:rsid w:val="004B3BDD"/>
    <w:rsid w:val="004B3FF1"/>
    <w:rsid w:val="004B42E7"/>
    <w:rsid w:val="004B4E99"/>
    <w:rsid w:val="004B5F60"/>
    <w:rsid w:val="004B61C7"/>
    <w:rsid w:val="004B6707"/>
    <w:rsid w:val="004B68D5"/>
    <w:rsid w:val="004B69D6"/>
    <w:rsid w:val="004B6D42"/>
    <w:rsid w:val="004B74CB"/>
    <w:rsid w:val="004B7A21"/>
    <w:rsid w:val="004C01FF"/>
    <w:rsid w:val="004C059D"/>
    <w:rsid w:val="004C07FE"/>
    <w:rsid w:val="004C0E96"/>
    <w:rsid w:val="004C1718"/>
    <w:rsid w:val="004C2540"/>
    <w:rsid w:val="004C25F7"/>
    <w:rsid w:val="004C26EF"/>
    <w:rsid w:val="004C3627"/>
    <w:rsid w:val="004C3C3E"/>
    <w:rsid w:val="004C3CBF"/>
    <w:rsid w:val="004C3E81"/>
    <w:rsid w:val="004C464C"/>
    <w:rsid w:val="004C4732"/>
    <w:rsid w:val="004C5EF0"/>
    <w:rsid w:val="004C5F70"/>
    <w:rsid w:val="004C7C61"/>
    <w:rsid w:val="004D053B"/>
    <w:rsid w:val="004D0961"/>
    <w:rsid w:val="004D0ACE"/>
    <w:rsid w:val="004D0F5A"/>
    <w:rsid w:val="004D1299"/>
    <w:rsid w:val="004D1853"/>
    <w:rsid w:val="004D18C8"/>
    <w:rsid w:val="004D19DA"/>
    <w:rsid w:val="004D1C86"/>
    <w:rsid w:val="004D1CED"/>
    <w:rsid w:val="004D209D"/>
    <w:rsid w:val="004D235F"/>
    <w:rsid w:val="004D2FD8"/>
    <w:rsid w:val="004D357C"/>
    <w:rsid w:val="004D35AD"/>
    <w:rsid w:val="004D4062"/>
    <w:rsid w:val="004D4298"/>
    <w:rsid w:val="004D4459"/>
    <w:rsid w:val="004D5405"/>
    <w:rsid w:val="004D58E8"/>
    <w:rsid w:val="004D75C3"/>
    <w:rsid w:val="004D7A70"/>
    <w:rsid w:val="004D7D34"/>
    <w:rsid w:val="004E082D"/>
    <w:rsid w:val="004E0EC5"/>
    <w:rsid w:val="004E120E"/>
    <w:rsid w:val="004E174B"/>
    <w:rsid w:val="004E1EC2"/>
    <w:rsid w:val="004E2074"/>
    <w:rsid w:val="004E2C77"/>
    <w:rsid w:val="004E3294"/>
    <w:rsid w:val="004E3F82"/>
    <w:rsid w:val="004E3FA3"/>
    <w:rsid w:val="004E461F"/>
    <w:rsid w:val="004E4FDD"/>
    <w:rsid w:val="004E55C2"/>
    <w:rsid w:val="004E5FF1"/>
    <w:rsid w:val="004E6A7A"/>
    <w:rsid w:val="004E7819"/>
    <w:rsid w:val="004E7904"/>
    <w:rsid w:val="004E7ACB"/>
    <w:rsid w:val="004E7B4C"/>
    <w:rsid w:val="004F04A6"/>
    <w:rsid w:val="004F06EA"/>
    <w:rsid w:val="004F0CE4"/>
    <w:rsid w:val="004F0F80"/>
    <w:rsid w:val="004F1133"/>
    <w:rsid w:val="004F1391"/>
    <w:rsid w:val="004F14FC"/>
    <w:rsid w:val="004F166C"/>
    <w:rsid w:val="004F1C5C"/>
    <w:rsid w:val="004F26A3"/>
    <w:rsid w:val="004F27CF"/>
    <w:rsid w:val="004F27F0"/>
    <w:rsid w:val="004F2C4C"/>
    <w:rsid w:val="004F3007"/>
    <w:rsid w:val="004F305E"/>
    <w:rsid w:val="004F3C7C"/>
    <w:rsid w:val="004F401D"/>
    <w:rsid w:val="004F472B"/>
    <w:rsid w:val="004F541A"/>
    <w:rsid w:val="004F570C"/>
    <w:rsid w:val="004F5C81"/>
    <w:rsid w:val="004F61CD"/>
    <w:rsid w:val="004F6B00"/>
    <w:rsid w:val="004F7180"/>
    <w:rsid w:val="004F7395"/>
    <w:rsid w:val="004F76E2"/>
    <w:rsid w:val="0050006B"/>
    <w:rsid w:val="00500BF1"/>
    <w:rsid w:val="00501C41"/>
    <w:rsid w:val="00502829"/>
    <w:rsid w:val="00502CEF"/>
    <w:rsid w:val="00502DB3"/>
    <w:rsid w:val="005036C8"/>
    <w:rsid w:val="00503804"/>
    <w:rsid w:val="00503971"/>
    <w:rsid w:val="00503972"/>
    <w:rsid w:val="00504844"/>
    <w:rsid w:val="005052F0"/>
    <w:rsid w:val="00505B7C"/>
    <w:rsid w:val="00505C32"/>
    <w:rsid w:val="00505F81"/>
    <w:rsid w:val="00506D25"/>
    <w:rsid w:val="00506D94"/>
    <w:rsid w:val="005076FD"/>
    <w:rsid w:val="00507EE2"/>
    <w:rsid w:val="0051137F"/>
    <w:rsid w:val="005115D6"/>
    <w:rsid w:val="0051169B"/>
    <w:rsid w:val="005121A0"/>
    <w:rsid w:val="00512651"/>
    <w:rsid w:val="00512A70"/>
    <w:rsid w:val="00512AC1"/>
    <w:rsid w:val="00512D48"/>
    <w:rsid w:val="00513E6F"/>
    <w:rsid w:val="005145DF"/>
    <w:rsid w:val="005146B6"/>
    <w:rsid w:val="00514829"/>
    <w:rsid w:val="0051491B"/>
    <w:rsid w:val="00514EB8"/>
    <w:rsid w:val="00514F77"/>
    <w:rsid w:val="00515877"/>
    <w:rsid w:val="00516618"/>
    <w:rsid w:val="0051673C"/>
    <w:rsid w:val="005169BB"/>
    <w:rsid w:val="00516A2D"/>
    <w:rsid w:val="00517082"/>
    <w:rsid w:val="005179A9"/>
    <w:rsid w:val="00520076"/>
    <w:rsid w:val="0052014E"/>
    <w:rsid w:val="005212BB"/>
    <w:rsid w:val="00521D1C"/>
    <w:rsid w:val="00521D36"/>
    <w:rsid w:val="005220E1"/>
    <w:rsid w:val="00522224"/>
    <w:rsid w:val="00522451"/>
    <w:rsid w:val="00522682"/>
    <w:rsid w:val="005227AA"/>
    <w:rsid w:val="0052291D"/>
    <w:rsid w:val="00523E1B"/>
    <w:rsid w:val="00524522"/>
    <w:rsid w:val="005248B7"/>
    <w:rsid w:val="00524CB1"/>
    <w:rsid w:val="00524DBC"/>
    <w:rsid w:val="0052539D"/>
    <w:rsid w:val="00525985"/>
    <w:rsid w:val="005277FE"/>
    <w:rsid w:val="0052797E"/>
    <w:rsid w:val="00527E39"/>
    <w:rsid w:val="00527E96"/>
    <w:rsid w:val="00527F4C"/>
    <w:rsid w:val="005301B9"/>
    <w:rsid w:val="00530902"/>
    <w:rsid w:val="00530BA6"/>
    <w:rsid w:val="0053141A"/>
    <w:rsid w:val="00531937"/>
    <w:rsid w:val="00531999"/>
    <w:rsid w:val="0053246A"/>
    <w:rsid w:val="00532607"/>
    <w:rsid w:val="00532C20"/>
    <w:rsid w:val="0053433F"/>
    <w:rsid w:val="00534502"/>
    <w:rsid w:val="0053489E"/>
    <w:rsid w:val="00535CE2"/>
    <w:rsid w:val="0053651E"/>
    <w:rsid w:val="00536E56"/>
    <w:rsid w:val="00537AF1"/>
    <w:rsid w:val="00540070"/>
    <w:rsid w:val="00541179"/>
    <w:rsid w:val="00542CCA"/>
    <w:rsid w:val="00543906"/>
    <w:rsid w:val="00543988"/>
    <w:rsid w:val="0054462D"/>
    <w:rsid w:val="00544E58"/>
    <w:rsid w:val="00546014"/>
    <w:rsid w:val="00546658"/>
    <w:rsid w:val="0054690D"/>
    <w:rsid w:val="0054692A"/>
    <w:rsid w:val="00546949"/>
    <w:rsid w:val="005469DD"/>
    <w:rsid w:val="00546ADB"/>
    <w:rsid w:val="00547983"/>
    <w:rsid w:val="00547A27"/>
    <w:rsid w:val="00547AD7"/>
    <w:rsid w:val="00547BD7"/>
    <w:rsid w:val="00547C9F"/>
    <w:rsid w:val="00547E99"/>
    <w:rsid w:val="00547F86"/>
    <w:rsid w:val="00550047"/>
    <w:rsid w:val="00550335"/>
    <w:rsid w:val="005508F7"/>
    <w:rsid w:val="0055132F"/>
    <w:rsid w:val="00551417"/>
    <w:rsid w:val="00551E5A"/>
    <w:rsid w:val="00551EA1"/>
    <w:rsid w:val="005523C8"/>
    <w:rsid w:val="0055275F"/>
    <w:rsid w:val="00552D90"/>
    <w:rsid w:val="00553C31"/>
    <w:rsid w:val="00553F0E"/>
    <w:rsid w:val="00554347"/>
    <w:rsid w:val="00554B22"/>
    <w:rsid w:val="00554C41"/>
    <w:rsid w:val="00554D35"/>
    <w:rsid w:val="005550E8"/>
    <w:rsid w:val="005559A0"/>
    <w:rsid w:val="00555E8E"/>
    <w:rsid w:val="00555FCC"/>
    <w:rsid w:val="005563B1"/>
    <w:rsid w:val="005573E5"/>
    <w:rsid w:val="00557D23"/>
    <w:rsid w:val="00557E6E"/>
    <w:rsid w:val="005600B7"/>
    <w:rsid w:val="005604D7"/>
    <w:rsid w:val="0056070F"/>
    <w:rsid w:val="00560B26"/>
    <w:rsid w:val="00560B9C"/>
    <w:rsid w:val="00560E52"/>
    <w:rsid w:val="0056136F"/>
    <w:rsid w:val="0056138F"/>
    <w:rsid w:val="00561394"/>
    <w:rsid w:val="00561BA0"/>
    <w:rsid w:val="005620AD"/>
    <w:rsid w:val="005639FA"/>
    <w:rsid w:val="00563B43"/>
    <w:rsid w:val="00564569"/>
    <w:rsid w:val="00564A9A"/>
    <w:rsid w:val="00564FDC"/>
    <w:rsid w:val="0056573F"/>
    <w:rsid w:val="005657FE"/>
    <w:rsid w:val="00565959"/>
    <w:rsid w:val="00565A1F"/>
    <w:rsid w:val="00565E74"/>
    <w:rsid w:val="00565F07"/>
    <w:rsid w:val="00566D34"/>
    <w:rsid w:val="00566E65"/>
    <w:rsid w:val="005672D4"/>
    <w:rsid w:val="005679D7"/>
    <w:rsid w:val="00567B27"/>
    <w:rsid w:val="00570114"/>
    <w:rsid w:val="005704DC"/>
    <w:rsid w:val="005704F7"/>
    <w:rsid w:val="00571271"/>
    <w:rsid w:val="005713CC"/>
    <w:rsid w:val="00571552"/>
    <w:rsid w:val="00571A3B"/>
    <w:rsid w:val="00571AFC"/>
    <w:rsid w:val="00571C71"/>
    <w:rsid w:val="00572662"/>
    <w:rsid w:val="00572900"/>
    <w:rsid w:val="00572B64"/>
    <w:rsid w:val="00572B7D"/>
    <w:rsid w:val="00572C1F"/>
    <w:rsid w:val="00572EBA"/>
    <w:rsid w:val="005730A3"/>
    <w:rsid w:val="005739A9"/>
    <w:rsid w:val="00573A1D"/>
    <w:rsid w:val="005741D0"/>
    <w:rsid w:val="0057491D"/>
    <w:rsid w:val="00574DD5"/>
    <w:rsid w:val="00574FB3"/>
    <w:rsid w:val="00575250"/>
    <w:rsid w:val="00575297"/>
    <w:rsid w:val="00575610"/>
    <w:rsid w:val="0057561A"/>
    <w:rsid w:val="00575A44"/>
    <w:rsid w:val="00575CDC"/>
    <w:rsid w:val="00576B73"/>
    <w:rsid w:val="00576E63"/>
    <w:rsid w:val="00576FA1"/>
    <w:rsid w:val="005771D8"/>
    <w:rsid w:val="005776A5"/>
    <w:rsid w:val="0057790E"/>
    <w:rsid w:val="005807C7"/>
    <w:rsid w:val="005808C6"/>
    <w:rsid w:val="00582E17"/>
    <w:rsid w:val="005830E0"/>
    <w:rsid w:val="005833B4"/>
    <w:rsid w:val="005838D4"/>
    <w:rsid w:val="00583F89"/>
    <w:rsid w:val="00584761"/>
    <w:rsid w:val="0058506E"/>
    <w:rsid w:val="005861C0"/>
    <w:rsid w:val="00586CBF"/>
    <w:rsid w:val="00586DFF"/>
    <w:rsid w:val="0058709F"/>
    <w:rsid w:val="00587193"/>
    <w:rsid w:val="00590287"/>
    <w:rsid w:val="005905F6"/>
    <w:rsid w:val="0059068E"/>
    <w:rsid w:val="00591D2D"/>
    <w:rsid w:val="0059210A"/>
    <w:rsid w:val="005921F9"/>
    <w:rsid w:val="00592625"/>
    <w:rsid w:val="00592902"/>
    <w:rsid w:val="00593691"/>
    <w:rsid w:val="005938B0"/>
    <w:rsid w:val="00593B1C"/>
    <w:rsid w:val="00593BD4"/>
    <w:rsid w:val="00593D62"/>
    <w:rsid w:val="005956E1"/>
    <w:rsid w:val="00595BAD"/>
    <w:rsid w:val="005964C5"/>
    <w:rsid w:val="00596794"/>
    <w:rsid w:val="005967D1"/>
    <w:rsid w:val="00596C1B"/>
    <w:rsid w:val="00596C60"/>
    <w:rsid w:val="0059736B"/>
    <w:rsid w:val="005979EB"/>
    <w:rsid w:val="00597BFF"/>
    <w:rsid w:val="005A0501"/>
    <w:rsid w:val="005A0692"/>
    <w:rsid w:val="005A0CD4"/>
    <w:rsid w:val="005A14B9"/>
    <w:rsid w:val="005A1A2E"/>
    <w:rsid w:val="005A1F00"/>
    <w:rsid w:val="005A233F"/>
    <w:rsid w:val="005A2DE3"/>
    <w:rsid w:val="005A2FD4"/>
    <w:rsid w:val="005A3160"/>
    <w:rsid w:val="005A354C"/>
    <w:rsid w:val="005A417F"/>
    <w:rsid w:val="005A4AA3"/>
    <w:rsid w:val="005A5E69"/>
    <w:rsid w:val="005A663A"/>
    <w:rsid w:val="005A71DA"/>
    <w:rsid w:val="005A72FB"/>
    <w:rsid w:val="005A7423"/>
    <w:rsid w:val="005A79C3"/>
    <w:rsid w:val="005A7B80"/>
    <w:rsid w:val="005A7C64"/>
    <w:rsid w:val="005B032F"/>
    <w:rsid w:val="005B0366"/>
    <w:rsid w:val="005B06E9"/>
    <w:rsid w:val="005B0AE1"/>
    <w:rsid w:val="005B12C0"/>
    <w:rsid w:val="005B15A2"/>
    <w:rsid w:val="005B2046"/>
    <w:rsid w:val="005B2141"/>
    <w:rsid w:val="005B24EE"/>
    <w:rsid w:val="005B2ED7"/>
    <w:rsid w:val="005B3085"/>
    <w:rsid w:val="005B3244"/>
    <w:rsid w:val="005B335D"/>
    <w:rsid w:val="005B34F6"/>
    <w:rsid w:val="005B37AC"/>
    <w:rsid w:val="005B38AE"/>
    <w:rsid w:val="005B3AB8"/>
    <w:rsid w:val="005B3AC3"/>
    <w:rsid w:val="005B3AF2"/>
    <w:rsid w:val="005B3BCB"/>
    <w:rsid w:val="005B54C6"/>
    <w:rsid w:val="005B5CD5"/>
    <w:rsid w:val="005B5D09"/>
    <w:rsid w:val="005B6439"/>
    <w:rsid w:val="005B698B"/>
    <w:rsid w:val="005B6AC3"/>
    <w:rsid w:val="005B756D"/>
    <w:rsid w:val="005C05DB"/>
    <w:rsid w:val="005C1D65"/>
    <w:rsid w:val="005C2D25"/>
    <w:rsid w:val="005C34F0"/>
    <w:rsid w:val="005C352A"/>
    <w:rsid w:val="005C3584"/>
    <w:rsid w:val="005C44B5"/>
    <w:rsid w:val="005C456E"/>
    <w:rsid w:val="005C47F7"/>
    <w:rsid w:val="005C47FA"/>
    <w:rsid w:val="005C5203"/>
    <w:rsid w:val="005C52A0"/>
    <w:rsid w:val="005C5442"/>
    <w:rsid w:val="005C55EF"/>
    <w:rsid w:val="005C560D"/>
    <w:rsid w:val="005C5A44"/>
    <w:rsid w:val="005C5B23"/>
    <w:rsid w:val="005C62ED"/>
    <w:rsid w:val="005C6641"/>
    <w:rsid w:val="005C6852"/>
    <w:rsid w:val="005C6858"/>
    <w:rsid w:val="005C7302"/>
    <w:rsid w:val="005D0383"/>
    <w:rsid w:val="005D295E"/>
    <w:rsid w:val="005D334A"/>
    <w:rsid w:val="005D3A59"/>
    <w:rsid w:val="005D4A73"/>
    <w:rsid w:val="005D4B95"/>
    <w:rsid w:val="005D5CD3"/>
    <w:rsid w:val="005D6102"/>
    <w:rsid w:val="005D70DB"/>
    <w:rsid w:val="005D7712"/>
    <w:rsid w:val="005D7869"/>
    <w:rsid w:val="005E13F2"/>
    <w:rsid w:val="005E154F"/>
    <w:rsid w:val="005E20B8"/>
    <w:rsid w:val="005E315F"/>
    <w:rsid w:val="005E3A54"/>
    <w:rsid w:val="005E4359"/>
    <w:rsid w:val="005E4682"/>
    <w:rsid w:val="005E54DF"/>
    <w:rsid w:val="005E5AC5"/>
    <w:rsid w:val="005E6328"/>
    <w:rsid w:val="005E647F"/>
    <w:rsid w:val="005E64D8"/>
    <w:rsid w:val="005E6697"/>
    <w:rsid w:val="005E68BB"/>
    <w:rsid w:val="005E691C"/>
    <w:rsid w:val="005E6FA3"/>
    <w:rsid w:val="005E78E3"/>
    <w:rsid w:val="005E78FF"/>
    <w:rsid w:val="005E7A1A"/>
    <w:rsid w:val="005F009A"/>
    <w:rsid w:val="005F040A"/>
    <w:rsid w:val="005F05A1"/>
    <w:rsid w:val="005F0663"/>
    <w:rsid w:val="005F07DE"/>
    <w:rsid w:val="005F0C40"/>
    <w:rsid w:val="005F0D80"/>
    <w:rsid w:val="005F0FB9"/>
    <w:rsid w:val="005F1AB6"/>
    <w:rsid w:val="005F1E49"/>
    <w:rsid w:val="005F200A"/>
    <w:rsid w:val="005F22E9"/>
    <w:rsid w:val="005F2D77"/>
    <w:rsid w:val="005F3159"/>
    <w:rsid w:val="005F322D"/>
    <w:rsid w:val="005F36E6"/>
    <w:rsid w:val="005F37CE"/>
    <w:rsid w:val="005F3C68"/>
    <w:rsid w:val="005F3FE5"/>
    <w:rsid w:val="005F410A"/>
    <w:rsid w:val="005F4539"/>
    <w:rsid w:val="005F5282"/>
    <w:rsid w:val="005F5A3C"/>
    <w:rsid w:val="005F5A72"/>
    <w:rsid w:val="005F5D7F"/>
    <w:rsid w:val="005F5E2A"/>
    <w:rsid w:val="005F6050"/>
    <w:rsid w:val="005F62E7"/>
    <w:rsid w:val="005F7230"/>
    <w:rsid w:val="005F734E"/>
    <w:rsid w:val="005F74A2"/>
    <w:rsid w:val="005F7698"/>
    <w:rsid w:val="005F7955"/>
    <w:rsid w:val="0060003E"/>
    <w:rsid w:val="006006EF"/>
    <w:rsid w:val="00600CCB"/>
    <w:rsid w:val="00600DF0"/>
    <w:rsid w:val="00600EBD"/>
    <w:rsid w:val="0060123C"/>
    <w:rsid w:val="006023EB"/>
    <w:rsid w:val="0060284F"/>
    <w:rsid w:val="00603156"/>
    <w:rsid w:val="006035FA"/>
    <w:rsid w:val="0060373E"/>
    <w:rsid w:val="006042F2"/>
    <w:rsid w:val="00604C09"/>
    <w:rsid w:val="006054DE"/>
    <w:rsid w:val="00606460"/>
    <w:rsid w:val="006064B2"/>
    <w:rsid w:val="0060656D"/>
    <w:rsid w:val="00606BEA"/>
    <w:rsid w:val="00607090"/>
    <w:rsid w:val="006072FB"/>
    <w:rsid w:val="00607A7B"/>
    <w:rsid w:val="00607B90"/>
    <w:rsid w:val="006104B2"/>
    <w:rsid w:val="0061097A"/>
    <w:rsid w:val="00611270"/>
    <w:rsid w:val="006112AF"/>
    <w:rsid w:val="00611987"/>
    <w:rsid w:val="00612887"/>
    <w:rsid w:val="00612E32"/>
    <w:rsid w:val="00613530"/>
    <w:rsid w:val="00613578"/>
    <w:rsid w:val="0061436A"/>
    <w:rsid w:val="006151E6"/>
    <w:rsid w:val="00615A82"/>
    <w:rsid w:val="00616085"/>
    <w:rsid w:val="0061644C"/>
    <w:rsid w:val="00616B20"/>
    <w:rsid w:val="00616BB8"/>
    <w:rsid w:val="00616D4D"/>
    <w:rsid w:val="00616DDF"/>
    <w:rsid w:val="00617243"/>
    <w:rsid w:val="006175E3"/>
    <w:rsid w:val="0061762E"/>
    <w:rsid w:val="00620334"/>
    <w:rsid w:val="00620620"/>
    <w:rsid w:val="0062175B"/>
    <w:rsid w:val="00621BCE"/>
    <w:rsid w:val="00621C5F"/>
    <w:rsid w:val="00621CB6"/>
    <w:rsid w:val="00622A6B"/>
    <w:rsid w:val="006232FA"/>
    <w:rsid w:val="00623958"/>
    <w:rsid w:val="00624B93"/>
    <w:rsid w:val="00624C68"/>
    <w:rsid w:val="00624E3D"/>
    <w:rsid w:val="00624F24"/>
    <w:rsid w:val="006252F8"/>
    <w:rsid w:val="00626363"/>
    <w:rsid w:val="00626420"/>
    <w:rsid w:val="006267F5"/>
    <w:rsid w:val="0062681F"/>
    <w:rsid w:val="00626E1A"/>
    <w:rsid w:val="00627069"/>
    <w:rsid w:val="00627B50"/>
    <w:rsid w:val="00627E7A"/>
    <w:rsid w:val="00630728"/>
    <w:rsid w:val="006309EA"/>
    <w:rsid w:val="00630D24"/>
    <w:rsid w:val="00630EDA"/>
    <w:rsid w:val="00630F9F"/>
    <w:rsid w:val="006310F1"/>
    <w:rsid w:val="00631349"/>
    <w:rsid w:val="00631734"/>
    <w:rsid w:val="00632AE6"/>
    <w:rsid w:val="00632DB8"/>
    <w:rsid w:val="0063336C"/>
    <w:rsid w:val="00634B9A"/>
    <w:rsid w:val="00634C76"/>
    <w:rsid w:val="006358FE"/>
    <w:rsid w:val="00636004"/>
    <w:rsid w:val="00636138"/>
    <w:rsid w:val="00636664"/>
    <w:rsid w:val="00636CF5"/>
    <w:rsid w:val="00636E9E"/>
    <w:rsid w:val="0064046E"/>
    <w:rsid w:val="00640563"/>
    <w:rsid w:val="00640844"/>
    <w:rsid w:val="00640D50"/>
    <w:rsid w:val="00640F63"/>
    <w:rsid w:val="00641598"/>
    <w:rsid w:val="0064168B"/>
    <w:rsid w:val="00642E2E"/>
    <w:rsid w:val="00643105"/>
    <w:rsid w:val="00643A57"/>
    <w:rsid w:val="00643AD3"/>
    <w:rsid w:val="00643D2F"/>
    <w:rsid w:val="00643DBD"/>
    <w:rsid w:val="00644219"/>
    <w:rsid w:val="006443BD"/>
    <w:rsid w:val="00644698"/>
    <w:rsid w:val="00644E99"/>
    <w:rsid w:val="00644EC7"/>
    <w:rsid w:val="00644F2F"/>
    <w:rsid w:val="00645877"/>
    <w:rsid w:val="006459D1"/>
    <w:rsid w:val="006474FD"/>
    <w:rsid w:val="00647822"/>
    <w:rsid w:val="00647FC2"/>
    <w:rsid w:val="006502E7"/>
    <w:rsid w:val="006506E1"/>
    <w:rsid w:val="00650FE7"/>
    <w:rsid w:val="00651028"/>
    <w:rsid w:val="00651257"/>
    <w:rsid w:val="006518C1"/>
    <w:rsid w:val="00651AA0"/>
    <w:rsid w:val="00651CEE"/>
    <w:rsid w:val="00651DB7"/>
    <w:rsid w:val="00651ED5"/>
    <w:rsid w:val="006520DE"/>
    <w:rsid w:val="006523A6"/>
    <w:rsid w:val="006523B5"/>
    <w:rsid w:val="006535A1"/>
    <w:rsid w:val="00653E1D"/>
    <w:rsid w:val="00654147"/>
    <w:rsid w:val="00654254"/>
    <w:rsid w:val="006542E6"/>
    <w:rsid w:val="006556B3"/>
    <w:rsid w:val="006559F5"/>
    <w:rsid w:val="00655B11"/>
    <w:rsid w:val="00656419"/>
    <w:rsid w:val="0065742A"/>
    <w:rsid w:val="006574EE"/>
    <w:rsid w:val="006576E6"/>
    <w:rsid w:val="00657724"/>
    <w:rsid w:val="006608BB"/>
    <w:rsid w:val="00661951"/>
    <w:rsid w:val="00661B99"/>
    <w:rsid w:val="00661F4D"/>
    <w:rsid w:val="00663852"/>
    <w:rsid w:val="0066493B"/>
    <w:rsid w:val="006657CB"/>
    <w:rsid w:val="00665926"/>
    <w:rsid w:val="006662D1"/>
    <w:rsid w:val="006665E3"/>
    <w:rsid w:val="00666699"/>
    <w:rsid w:val="0066683D"/>
    <w:rsid w:val="006676BE"/>
    <w:rsid w:val="00667EC5"/>
    <w:rsid w:val="00667FBC"/>
    <w:rsid w:val="0067008A"/>
    <w:rsid w:val="006700AA"/>
    <w:rsid w:val="00670841"/>
    <w:rsid w:val="00671571"/>
    <w:rsid w:val="00671CB9"/>
    <w:rsid w:val="006726C8"/>
    <w:rsid w:val="00672A45"/>
    <w:rsid w:val="00672B37"/>
    <w:rsid w:val="0067350A"/>
    <w:rsid w:val="00673C30"/>
    <w:rsid w:val="00673C39"/>
    <w:rsid w:val="00674D4D"/>
    <w:rsid w:val="00674F7A"/>
    <w:rsid w:val="00674FA0"/>
    <w:rsid w:val="0067510C"/>
    <w:rsid w:val="006751BB"/>
    <w:rsid w:val="00676B82"/>
    <w:rsid w:val="00676C97"/>
    <w:rsid w:val="00676D63"/>
    <w:rsid w:val="00676FE4"/>
    <w:rsid w:val="00677258"/>
    <w:rsid w:val="00677BE8"/>
    <w:rsid w:val="00677C6B"/>
    <w:rsid w:val="00677F26"/>
    <w:rsid w:val="006803C1"/>
    <w:rsid w:val="00680A6F"/>
    <w:rsid w:val="00680EAF"/>
    <w:rsid w:val="0068134C"/>
    <w:rsid w:val="006814DC"/>
    <w:rsid w:val="00681B5F"/>
    <w:rsid w:val="00682014"/>
    <w:rsid w:val="00682955"/>
    <w:rsid w:val="006829EF"/>
    <w:rsid w:val="006845A0"/>
    <w:rsid w:val="00684765"/>
    <w:rsid w:val="0068585B"/>
    <w:rsid w:val="00685CD9"/>
    <w:rsid w:val="006868CD"/>
    <w:rsid w:val="006875E0"/>
    <w:rsid w:val="006878B4"/>
    <w:rsid w:val="00687FCE"/>
    <w:rsid w:val="006903F2"/>
    <w:rsid w:val="006907B5"/>
    <w:rsid w:val="006907C6"/>
    <w:rsid w:val="00690FEA"/>
    <w:rsid w:val="0069115B"/>
    <w:rsid w:val="0069130C"/>
    <w:rsid w:val="00691425"/>
    <w:rsid w:val="00691A46"/>
    <w:rsid w:val="00692540"/>
    <w:rsid w:val="00692CD6"/>
    <w:rsid w:val="006938E5"/>
    <w:rsid w:val="00694309"/>
    <w:rsid w:val="006947F0"/>
    <w:rsid w:val="0069495E"/>
    <w:rsid w:val="00694E44"/>
    <w:rsid w:val="00695F5F"/>
    <w:rsid w:val="0069605A"/>
    <w:rsid w:val="00696FDD"/>
    <w:rsid w:val="006A0152"/>
    <w:rsid w:val="006A10E2"/>
    <w:rsid w:val="006A1362"/>
    <w:rsid w:val="006A145D"/>
    <w:rsid w:val="006A2A12"/>
    <w:rsid w:val="006A2AB7"/>
    <w:rsid w:val="006A37C3"/>
    <w:rsid w:val="006A45A4"/>
    <w:rsid w:val="006A45A7"/>
    <w:rsid w:val="006A4F71"/>
    <w:rsid w:val="006A5413"/>
    <w:rsid w:val="006A5540"/>
    <w:rsid w:val="006A55A1"/>
    <w:rsid w:val="006A5B35"/>
    <w:rsid w:val="006A75E3"/>
    <w:rsid w:val="006A778A"/>
    <w:rsid w:val="006A7E50"/>
    <w:rsid w:val="006B03E3"/>
    <w:rsid w:val="006B08ED"/>
    <w:rsid w:val="006B100E"/>
    <w:rsid w:val="006B10B7"/>
    <w:rsid w:val="006B10E1"/>
    <w:rsid w:val="006B1490"/>
    <w:rsid w:val="006B1947"/>
    <w:rsid w:val="006B1ADB"/>
    <w:rsid w:val="006B3167"/>
    <w:rsid w:val="006B3B77"/>
    <w:rsid w:val="006B3DF8"/>
    <w:rsid w:val="006B4618"/>
    <w:rsid w:val="006B4A5A"/>
    <w:rsid w:val="006B4D73"/>
    <w:rsid w:val="006B5538"/>
    <w:rsid w:val="006B5B99"/>
    <w:rsid w:val="006B5BBF"/>
    <w:rsid w:val="006B60A2"/>
    <w:rsid w:val="006B66F2"/>
    <w:rsid w:val="006B6DD3"/>
    <w:rsid w:val="006B71D8"/>
    <w:rsid w:val="006C075A"/>
    <w:rsid w:val="006C09C2"/>
    <w:rsid w:val="006C0DED"/>
    <w:rsid w:val="006C1F9A"/>
    <w:rsid w:val="006C2281"/>
    <w:rsid w:val="006C27FD"/>
    <w:rsid w:val="006C2EFF"/>
    <w:rsid w:val="006C315D"/>
    <w:rsid w:val="006C367F"/>
    <w:rsid w:val="006C48C5"/>
    <w:rsid w:val="006C559B"/>
    <w:rsid w:val="006C55F4"/>
    <w:rsid w:val="006C5F3E"/>
    <w:rsid w:val="006C6B99"/>
    <w:rsid w:val="006C6C7F"/>
    <w:rsid w:val="006C6DE4"/>
    <w:rsid w:val="006C73A9"/>
    <w:rsid w:val="006C7825"/>
    <w:rsid w:val="006D1216"/>
    <w:rsid w:val="006D16EF"/>
    <w:rsid w:val="006D1C29"/>
    <w:rsid w:val="006D200D"/>
    <w:rsid w:val="006D2548"/>
    <w:rsid w:val="006D27E1"/>
    <w:rsid w:val="006D2A7D"/>
    <w:rsid w:val="006D3930"/>
    <w:rsid w:val="006D4213"/>
    <w:rsid w:val="006D4665"/>
    <w:rsid w:val="006D4918"/>
    <w:rsid w:val="006D5148"/>
    <w:rsid w:val="006D530A"/>
    <w:rsid w:val="006D53F7"/>
    <w:rsid w:val="006D6CB3"/>
    <w:rsid w:val="006D79DA"/>
    <w:rsid w:val="006E063B"/>
    <w:rsid w:val="006E11FF"/>
    <w:rsid w:val="006E15CF"/>
    <w:rsid w:val="006E1717"/>
    <w:rsid w:val="006E17F2"/>
    <w:rsid w:val="006E199B"/>
    <w:rsid w:val="006E1C96"/>
    <w:rsid w:val="006E211E"/>
    <w:rsid w:val="006E274C"/>
    <w:rsid w:val="006E28DD"/>
    <w:rsid w:val="006E2B0F"/>
    <w:rsid w:val="006E2B30"/>
    <w:rsid w:val="006E2BAD"/>
    <w:rsid w:val="006E2BC2"/>
    <w:rsid w:val="006E3670"/>
    <w:rsid w:val="006E3DEB"/>
    <w:rsid w:val="006E4CC3"/>
    <w:rsid w:val="006E4F82"/>
    <w:rsid w:val="006E533B"/>
    <w:rsid w:val="006E5757"/>
    <w:rsid w:val="006E5C1A"/>
    <w:rsid w:val="006E5DF1"/>
    <w:rsid w:val="006E6137"/>
    <w:rsid w:val="006E6E01"/>
    <w:rsid w:val="006E7323"/>
    <w:rsid w:val="006E7799"/>
    <w:rsid w:val="006E79F3"/>
    <w:rsid w:val="006E7F24"/>
    <w:rsid w:val="006E7FD2"/>
    <w:rsid w:val="006F0057"/>
    <w:rsid w:val="006F021E"/>
    <w:rsid w:val="006F0327"/>
    <w:rsid w:val="006F07E6"/>
    <w:rsid w:val="006F1197"/>
    <w:rsid w:val="006F12CA"/>
    <w:rsid w:val="006F158D"/>
    <w:rsid w:val="006F15D0"/>
    <w:rsid w:val="006F1DEF"/>
    <w:rsid w:val="006F2886"/>
    <w:rsid w:val="006F32B7"/>
    <w:rsid w:val="006F3661"/>
    <w:rsid w:val="006F3AA0"/>
    <w:rsid w:val="006F3B11"/>
    <w:rsid w:val="006F3CF3"/>
    <w:rsid w:val="006F4FB8"/>
    <w:rsid w:val="006F5D60"/>
    <w:rsid w:val="006F5EAA"/>
    <w:rsid w:val="006F653F"/>
    <w:rsid w:val="006F6D72"/>
    <w:rsid w:val="006F6FCA"/>
    <w:rsid w:val="006F70FD"/>
    <w:rsid w:val="006F7728"/>
    <w:rsid w:val="006F79C1"/>
    <w:rsid w:val="006F7C18"/>
    <w:rsid w:val="006F7E3B"/>
    <w:rsid w:val="007000C0"/>
    <w:rsid w:val="0070072F"/>
    <w:rsid w:val="00700D21"/>
    <w:rsid w:val="00701297"/>
    <w:rsid w:val="00701C37"/>
    <w:rsid w:val="00701D3E"/>
    <w:rsid w:val="00702434"/>
    <w:rsid w:val="00702944"/>
    <w:rsid w:val="00702BD1"/>
    <w:rsid w:val="00702FC9"/>
    <w:rsid w:val="007035B6"/>
    <w:rsid w:val="00703891"/>
    <w:rsid w:val="007045C5"/>
    <w:rsid w:val="0070474E"/>
    <w:rsid w:val="00705720"/>
    <w:rsid w:val="00705A9A"/>
    <w:rsid w:val="007060FB"/>
    <w:rsid w:val="007066F0"/>
    <w:rsid w:val="0070671F"/>
    <w:rsid w:val="00706CAC"/>
    <w:rsid w:val="00707228"/>
    <w:rsid w:val="0070753A"/>
    <w:rsid w:val="007075D8"/>
    <w:rsid w:val="007076BA"/>
    <w:rsid w:val="00707743"/>
    <w:rsid w:val="007117E0"/>
    <w:rsid w:val="00711958"/>
    <w:rsid w:val="00711AE8"/>
    <w:rsid w:val="00711ECF"/>
    <w:rsid w:val="007127D1"/>
    <w:rsid w:val="00712C48"/>
    <w:rsid w:val="00712C4C"/>
    <w:rsid w:val="007130CC"/>
    <w:rsid w:val="0071333D"/>
    <w:rsid w:val="007133AE"/>
    <w:rsid w:val="00714B85"/>
    <w:rsid w:val="007152D6"/>
    <w:rsid w:val="00715426"/>
    <w:rsid w:val="00715E27"/>
    <w:rsid w:val="00715F8E"/>
    <w:rsid w:val="00715FAD"/>
    <w:rsid w:val="0071688A"/>
    <w:rsid w:val="00716D60"/>
    <w:rsid w:val="00717264"/>
    <w:rsid w:val="00717665"/>
    <w:rsid w:val="007176EE"/>
    <w:rsid w:val="007176F0"/>
    <w:rsid w:val="0071773F"/>
    <w:rsid w:val="00717FF2"/>
    <w:rsid w:val="00720416"/>
    <w:rsid w:val="0072080E"/>
    <w:rsid w:val="007208AB"/>
    <w:rsid w:val="00720F7E"/>
    <w:rsid w:val="0072138D"/>
    <w:rsid w:val="0072182E"/>
    <w:rsid w:val="00721A73"/>
    <w:rsid w:val="00721AAC"/>
    <w:rsid w:val="007225C3"/>
    <w:rsid w:val="00722874"/>
    <w:rsid w:val="00722E44"/>
    <w:rsid w:val="007239F6"/>
    <w:rsid w:val="00724362"/>
    <w:rsid w:val="00724EE3"/>
    <w:rsid w:val="0072544F"/>
    <w:rsid w:val="00725B23"/>
    <w:rsid w:val="00725E9C"/>
    <w:rsid w:val="007261BB"/>
    <w:rsid w:val="0072649C"/>
    <w:rsid w:val="0072650C"/>
    <w:rsid w:val="0072762C"/>
    <w:rsid w:val="0072769D"/>
    <w:rsid w:val="0072777C"/>
    <w:rsid w:val="0072794C"/>
    <w:rsid w:val="00727959"/>
    <w:rsid w:val="00727BCF"/>
    <w:rsid w:val="00727C10"/>
    <w:rsid w:val="00727C7E"/>
    <w:rsid w:val="00727CF7"/>
    <w:rsid w:val="00727F7F"/>
    <w:rsid w:val="00730572"/>
    <w:rsid w:val="007319EA"/>
    <w:rsid w:val="00731A4E"/>
    <w:rsid w:val="00731D3B"/>
    <w:rsid w:val="00731F70"/>
    <w:rsid w:val="00731FE3"/>
    <w:rsid w:val="00732278"/>
    <w:rsid w:val="0073262D"/>
    <w:rsid w:val="00732694"/>
    <w:rsid w:val="007332DF"/>
    <w:rsid w:val="0073339C"/>
    <w:rsid w:val="00733639"/>
    <w:rsid w:val="00733CEA"/>
    <w:rsid w:val="007341DD"/>
    <w:rsid w:val="00734209"/>
    <w:rsid w:val="007342C7"/>
    <w:rsid w:val="00734374"/>
    <w:rsid w:val="00735D67"/>
    <w:rsid w:val="00735F5D"/>
    <w:rsid w:val="007361C1"/>
    <w:rsid w:val="00736558"/>
    <w:rsid w:val="007368F3"/>
    <w:rsid w:val="00737242"/>
    <w:rsid w:val="007373D0"/>
    <w:rsid w:val="007374BC"/>
    <w:rsid w:val="00737A75"/>
    <w:rsid w:val="00740EC3"/>
    <w:rsid w:val="00741111"/>
    <w:rsid w:val="00741271"/>
    <w:rsid w:val="0074161C"/>
    <w:rsid w:val="0074185F"/>
    <w:rsid w:val="007423FE"/>
    <w:rsid w:val="00742D52"/>
    <w:rsid w:val="007432F4"/>
    <w:rsid w:val="0074332F"/>
    <w:rsid w:val="00743594"/>
    <w:rsid w:val="00743C8F"/>
    <w:rsid w:val="00744592"/>
    <w:rsid w:val="00744CC9"/>
    <w:rsid w:val="00744E53"/>
    <w:rsid w:val="00744E90"/>
    <w:rsid w:val="00744EB3"/>
    <w:rsid w:val="007453B8"/>
    <w:rsid w:val="0074541F"/>
    <w:rsid w:val="0074565E"/>
    <w:rsid w:val="007458CB"/>
    <w:rsid w:val="00746650"/>
    <w:rsid w:val="007466E2"/>
    <w:rsid w:val="007469B6"/>
    <w:rsid w:val="00747776"/>
    <w:rsid w:val="00747F7D"/>
    <w:rsid w:val="00747F98"/>
    <w:rsid w:val="00750209"/>
    <w:rsid w:val="00750549"/>
    <w:rsid w:val="00750E0A"/>
    <w:rsid w:val="00751617"/>
    <w:rsid w:val="00751B43"/>
    <w:rsid w:val="00751C98"/>
    <w:rsid w:val="0075220D"/>
    <w:rsid w:val="00752260"/>
    <w:rsid w:val="007522A6"/>
    <w:rsid w:val="00753601"/>
    <w:rsid w:val="00753939"/>
    <w:rsid w:val="00754761"/>
    <w:rsid w:val="007548EE"/>
    <w:rsid w:val="007550D5"/>
    <w:rsid w:val="007556CF"/>
    <w:rsid w:val="00755966"/>
    <w:rsid w:val="007559C5"/>
    <w:rsid w:val="00755C96"/>
    <w:rsid w:val="007564E1"/>
    <w:rsid w:val="00756D83"/>
    <w:rsid w:val="00757C03"/>
    <w:rsid w:val="00757E5B"/>
    <w:rsid w:val="00757FE9"/>
    <w:rsid w:val="00760142"/>
    <w:rsid w:val="00760351"/>
    <w:rsid w:val="00760CD4"/>
    <w:rsid w:val="007611A9"/>
    <w:rsid w:val="00762492"/>
    <w:rsid w:val="0076292E"/>
    <w:rsid w:val="00762B80"/>
    <w:rsid w:val="00762BB8"/>
    <w:rsid w:val="00763501"/>
    <w:rsid w:val="00763E4B"/>
    <w:rsid w:val="00764A54"/>
    <w:rsid w:val="00764D34"/>
    <w:rsid w:val="00764E57"/>
    <w:rsid w:val="00764F02"/>
    <w:rsid w:val="00765206"/>
    <w:rsid w:val="007654E6"/>
    <w:rsid w:val="00765674"/>
    <w:rsid w:val="0076632F"/>
    <w:rsid w:val="00766476"/>
    <w:rsid w:val="007665B5"/>
    <w:rsid w:val="00767A50"/>
    <w:rsid w:val="007702AA"/>
    <w:rsid w:val="00770EB8"/>
    <w:rsid w:val="007715A4"/>
    <w:rsid w:val="0077184B"/>
    <w:rsid w:val="00771D37"/>
    <w:rsid w:val="00771D57"/>
    <w:rsid w:val="00772100"/>
    <w:rsid w:val="0077251F"/>
    <w:rsid w:val="007728AE"/>
    <w:rsid w:val="007734E6"/>
    <w:rsid w:val="00773548"/>
    <w:rsid w:val="00773551"/>
    <w:rsid w:val="00773C93"/>
    <w:rsid w:val="00773EE4"/>
    <w:rsid w:val="0077436F"/>
    <w:rsid w:val="00775005"/>
    <w:rsid w:val="007750B3"/>
    <w:rsid w:val="0077537E"/>
    <w:rsid w:val="007753E0"/>
    <w:rsid w:val="00775591"/>
    <w:rsid w:val="007759DB"/>
    <w:rsid w:val="00775C54"/>
    <w:rsid w:val="00775E66"/>
    <w:rsid w:val="00775EEF"/>
    <w:rsid w:val="00776ED8"/>
    <w:rsid w:val="00777DAE"/>
    <w:rsid w:val="007806A3"/>
    <w:rsid w:val="00780CCF"/>
    <w:rsid w:val="00780F40"/>
    <w:rsid w:val="00781B5A"/>
    <w:rsid w:val="00781B8D"/>
    <w:rsid w:val="00781C05"/>
    <w:rsid w:val="00781E7B"/>
    <w:rsid w:val="00781ECD"/>
    <w:rsid w:val="00781FDF"/>
    <w:rsid w:val="007821B5"/>
    <w:rsid w:val="00782320"/>
    <w:rsid w:val="00783139"/>
    <w:rsid w:val="007838A7"/>
    <w:rsid w:val="00783A4B"/>
    <w:rsid w:val="00783DF8"/>
    <w:rsid w:val="00784138"/>
    <w:rsid w:val="007849A0"/>
    <w:rsid w:val="007852CB"/>
    <w:rsid w:val="00785397"/>
    <w:rsid w:val="007863F6"/>
    <w:rsid w:val="007866CD"/>
    <w:rsid w:val="00786857"/>
    <w:rsid w:val="00787179"/>
    <w:rsid w:val="00787BC9"/>
    <w:rsid w:val="00787BD5"/>
    <w:rsid w:val="00790C60"/>
    <w:rsid w:val="007912A0"/>
    <w:rsid w:val="007917D5"/>
    <w:rsid w:val="00792ABC"/>
    <w:rsid w:val="007930A9"/>
    <w:rsid w:val="007936F9"/>
    <w:rsid w:val="00793B01"/>
    <w:rsid w:val="00794163"/>
    <w:rsid w:val="00794941"/>
    <w:rsid w:val="00794A0F"/>
    <w:rsid w:val="007966AB"/>
    <w:rsid w:val="00796C15"/>
    <w:rsid w:val="0079736A"/>
    <w:rsid w:val="007974DC"/>
    <w:rsid w:val="00797759"/>
    <w:rsid w:val="00797FC7"/>
    <w:rsid w:val="007A0329"/>
    <w:rsid w:val="007A0B15"/>
    <w:rsid w:val="007A1637"/>
    <w:rsid w:val="007A1A14"/>
    <w:rsid w:val="007A2EC8"/>
    <w:rsid w:val="007A3060"/>
    <w:rsid w:val="007A3245"/>
    <w:rsid w:val="007A4962"/>
    <w:rsid w:val="007A5190"/>
    <w:rsid w:val="007A536D"/>
    <w:rsid w:val="007A53A3"/>
    <w:rsid w:val="007A5AF9"/>
    <w:rsid w:val="007A6AC3"/>
    <w:rsid w:val="007A6C5B"/>
    <w:rsid w:val="007A6CB9"/>
    <w:rsid w:val="007A7019"/>
    <w:rsid w:val="007A7227"/>
    <w:rsid w:val="007A765A"/>
    <w:rsid w:val="007A791C"/>
    <w:rsid w:val="007A79D6"/>
    <w:rsid w:val="007A7EB9"/>
    <w:rsid w:val="007B0341"/>
    <w:rsid w:val="007B04D8"/>
    <w:rsid w:val="007B130A"/>
    <w:rsid w:val="007B1549"/>
    <w:rsid w:val="007B1C11"/>
    <w:rsid w:val="007B24C2"/>
    <w:rsid w:val="007B2C72"/>
    <w:rsid w:val="007B2F65"/>
    <w:rsid w:val="007B2FCD"/>
    <w:rsid w:val="007B3D34"/>
    <w:rsid w:val="007B4012"/>
    <w:rsid w:val="007B4067"/>
    <w:rsid w:val="007B46A7"/>
    <w:rsid w:val="007B5426"/>
    <w:rsid w:val="007B5810"/>
    <w:rsid w:val="007B5DF5"/>
    <w:rsid w:val="007B68FD"/>
    <w:rsid w:val="007B69A4"/>
    <w:rsid w:val="007B6BA6"/>
    <w:rsid w:val="007B6F00"/>
    <w:rsid w:val="007C0DB1"/>
    <w:rsid w:val="007C0F7C"/>
    <w:rsid w:val="007C1CB6"/>
    <w:rsid w:val="007C2022"/>
    <w:rsid w:val="007C21BC"/>
    <w:rsid w:val="007C2611"/>
    <w:rsid w:val="007C2660"/>
    <w:rsid w:val="007C27D1"/>
    <w:rsid w:val="007C2D46"/>
    <w:rsid w:val="007C377C"/>
    <w:rsid w:val="007C3884"/>
    <w:rsid w:val="007C4582"/>
    <w:rsid w:val="007C4972"/>
    <w:rsid w:val="007C521A"/>
    <w:rsid w:val="007C52D7"/>
    <w:rsid w:val="007C59B7"/>
    <w:rsid w:val="007C7A53"/>
    <w:rsid w:val="007D021E"/>
    <w:rsid w:val="007D09C1"/>
    <w:rsid w:val="007D12C1"/>
    <w:rsid w:val="007D13C2"/>
    <w:rsid w:val="007D1546"/>
    <w:rsid w:val="007D17E3"/>
    <w:rsid w:val="007D1AEA"/>
    <w:rsid w:val="007D1EA1"/>
    <w:rsid w:val="007D2212"/>
    <w:rsid w:val="007D227F"/>
    <w:rsid w:val="007D2AAB"/>
    <w:rsid w:val="007D2C2E"/>
    <w:rsid w:val="007D2C77"/>
    <w:rsid w:val="007D2EA1"/>
    <w:rsid w:val="007D46FF"/>
    <w:rsid w:val="007D4BEC"/>
    <w:rsid w:val="007D4D30"/>
    <w:rsid w:val="007D4F07"/>
    <w:rsid w:val="007D5F6C"/>
    <w:rsid w:val="007D632A"/>
    <w:rsid w:val="007D6B45"/>
    <w:rsid w:val="007D6CF7"/>
    <w:rsid w:val="007D71EF"/>
    <w:rsid w:val="007D7239"/>
    <w:rsid w:val="007D774D"/>
    <w:rsid w:val="007D79BE"/>
    <w:rsid w:val="007D7B7C"/>
    <w:rsid w:val="007E059A"/>
    <w:rsid w:val="007E05A4"/>
    <w:rsid w:val="007E09F6"/>
    <w:rsid w:val="007E1330"/>
    <w:rsid w:val="007E1435"/>
    <w:rsid w:val="007E1528"/>
    <w:rsid w:val="007E1984"/>
    <w:rsid w:val="007E1C32"/>
    <w:rsid w:val="007E2540"/>
    <w:rsid w:val="007E2772"/>
    <w:rsid w:val="007E2F85"/>
    <w:rsid w:val="007E371B"/>
    <w:rsid w:val="007E3B8E"/>
    <w:rsid w:val="007E48B5"/>
    <w:rsid w:val="007E4A3E"/>
    <w:rsid w:val="007E4AC7"/>
    <w:rsid w:val="007E4CE6"/>
    <w:rsid w:val="007E4D2A"/>
    <w:rsid w:val="007E510B"/>
    <w:rsid w:val="007E5473"/>
    <w:rsid w:val="007E5E88"/>
    <w:rsid w:val="007E5EEE"/>
    <w:rsid w:val="007E5F4C"/>
    <w:rsid w:val="007E6015"/>
    <w:rsid w:val="007E653F"/>
    <w:rsid w:val="007E65A1"/>
    <w:rsid w:val="007E6840"/>
    <w:rsid w:val="007E6D8B"/>
    <w:rsid w:val="007E6F99"/>
    <w:rsid w:val="007E732E"/>
    <w:rsid w:val="007E7C66"/>
    <w:rsid w:val="007F031E"/>
    <w:rsid w:val="007F0A54"/>
    <w:rsid w:val="007F224B"/>
    <w:rsid w:val="007F22C1"/>
    <w:rsid w:val="007F249B"/>
    <w:rsid w:val="007F25AE"/>
    <w:rsid w:val="007F2691"/>
    <w:rsid w:val="007F2E00"/>
    <w:rsid w:val="007F2EB2"/>
    <w:rsid w:val="007F3F36"/>
    <w:rsid w:val="007F4045"/>
    <w:rsid w:val="007F423F"/>
    <w:rsid w:val="007F4327"/>
    <w:rsid w:val="007F440A"/>
    <w:rsid w:val="007F4A82"/>
    <w:rsid w:val="007F4B5B"/>
    <w:rsid w:val="007F56F3"/>
    <w:rsid w:val="007F59CE"/>
    <w:rsid w:val="007F5DFE"/>
    <w:rsid w:val="007F6AD3"/>
    <w:rsid w:val="007F6E18"/>
    <w:rsid w:val="007F6FB8"/>
    <w:rsid w:val="007F746D"/>
    <w:rsid w:val="007F747E"/>
    <w:rsid w:val="007F7A4A"/>
    <w:rsid w:val="00800665"/>
    <w:rsid w:val="00800796"/>
    <w:rsid w:val="008008E6"/>
    <w:rsid w:val="00800A99"/>
    <w:rsid w:val="00800D29"/>
    <w:rsid w:val="00801BFA"/>
    <w:rsid w:val="00801DFE"/>
    <w:rsid w:val="008020EF"/>
    <w:rsid w:val="0080235B"/>
    <w:rsid w:val="00802424"/>
    <w:rsid w:val="0080350E"/>
    <w:rsid w:val="00804677"/>
    <w:rsid w:val="00804730"/>
    <w:rsid w:val="008048BA"/>
    <w:rsid w:val="008061AC"/>
    <w:rsid w:val="0080635A"/>
    <w:rsid w:val="00806374"/>
    <w:rsid w:val="00806CC4"/>
    <w:rsid w:val="00806E08"/>
    <w:rsid w:val="00806E89"/>
    <w:rsid w:val="00806F59"/>
    <w:rsid w:val="0080798D"/>
    <w:rsid w:val="00810B46"/>
    <w:rsid w:val="00811229"/>
    <w:rsid w:val="0081136E"/>
    <w:rsid w:val="0081161C"/>
    <w:rsid w:val="0081208C"/>
    <w:rsid w:val="008125F8"/>
    <w:rsid w:val="008132D3"/>
    <w:rsid w:val="008135BB"/>
    <w:rsid w:val="00813C76"/>
    <w:rsid w:val="00813D49"/>
    <w:rsid w:val="00814655"/>
    <w:rsid w:val="00814C29"/>
    <w:rsid w:val="00814CB0"/>
    <w:rsid w:val="00814D10"/>
    <w:rsid w:val="00815E46"/>
    <w:rsid w:val="008160B8"/>
    <w:rsid w:val="00816649"/>
    <w:rsid w:val="00816D70"/>
    <w:rsid w:val="0081710B"/>
    <w:rsid w:val="00817647"/>
    <w:rsid w:val="00817787"/>
    <w:rsid w:val="00820E77"/>
    <w:rsid w:val="00820EF2"/>
    <w:rsid w:val="00821173"/>
    <w:rsid w:val="00821260"/>
    <w:rsid w:val="008218EE"/>
    <w:rsid w:val="00821BA4"/>
    <w:rsid w:val="0082257C"/>
    <w:rsid w:val="0082287C"/>
    <w:rsid w:val="008230C4"/>
    <w:rsid w:val="008232E9"/>
    <w:rsid w:val="00823373"/>
    <w:rsid w:val="00823713"/>
    <w:rsid w:val="00823D5A"/>
    <w:rsid w:val="0082409F"/>
    <w:rsid w:val="0082427C"/>
    <w:rsid w:val="00824D9B"/>
    <w:rsid w:val="00824F12"/>
    <w:rsid w:val="008256FB"/>
    <w:rsid w:val="008258BA"/>
    <w:rsid w:val="0082617B"/>
    <w:rsid w:val="0082647B"/>
    <w:rsid w:val="0082670B"/>
    <w:rsid w:val="0082752A"/>
    <w:rsid w:val="008278B8"/>
    <w:rsid w:val="00827B83"/>
    <w:rsid w:val="00827C56"/>
    <w:rsid w:val="0083092C"/>
    <w:rsid w:val="00830958"/>
    <w:rsid w:val="00830DC9"/>
    <w:rsid w:val="00830FBA"/>
    <w:rsid w:val="0083199E"/>
    <w:rsid w:val="00831EA7"/>
    <w:rsid w:val="00832631"/>
    <w:rsid w:val="00832A15"/>
    <w:rsid w:val="00832BB1"/>
    <w:rsid w:val="00833041"/>
    <w:rsid w:val="008334F0"/>
    <w:rsid w:val="008334FA"/>
    <w:rsid w:val="0083355E"/>
    <w:rsid w:val="0083356A"/>
    <w:rsid w:val="00833821"/>
    <w:rsid w:val="00833B35"/>
    <w:rsid w:val="00833FC3"/>
    <w:rsid w:val="0083400C"/>
    <w:rsid w:val="0083441E"/>
    <w:rsid w:val="008351E8"/>
    <w:rsid w:val="00835204"/>
    <w:rsid w:val="00835390"/>
    <w:rsid w:val="0083628C"/>
    <w:rsid w:val="0083641B"/>
    <w:rsid w:val="00836BB2"/>
    <w:rsid w:val="008372D0"/>
    <w:rsid w:val="00837828"/>
    <w:rsid w:val="00837C53"/>
    <w:rsid w:val="00840855"/>
    <w:rsid w:val="00840B16"/>
    <w:rsid w:val="0084148B"/>
    <w:rsid w:val="008414FC"/>
    <w:rsid w:val="00841DD6"/>
    <w:rsid w:val="008421C0"/>
    <w:rsid w:val="00843BAD"/>
    <w:rsid w:val="00843F12"/>
    <w:rsid w:val="00843F27"/>
    <w:rsid w:val="00844456"/>
    <w:rsid w:val="00845692"/>
    <w:rsid w:val="008459EA"/>
    <w:rsid w:val="00846140"/>
    <w:rsid w:val="0084636B"/>
    <w:rsid w:val="008464C2"/>
    <w:rsid w:val="00846FC1"/>
    <w:rsid w:val="0084703A"/>
    <w:rsid w:val="00847C8D"/>
    <w:rsid w:val="00850141"/>
    <w:rsid w:val="008517EE"/>
    <w:rsid w:val="00851A0A"/>
    <w:rsid w:val="00851FB0"/>
    <w:rsid w:val="00852180"/>
    <w:rsid w:val="00852372"/>
    <w:rsid w:val="00852D14"/>
    <w:rsid w:val="00852E39"/>
    <w:rsid w:val="0085317B"/>
    <w:rsid w:val="008533E8"/>
    <w:rsid w:val="0085348B"/>
    <w:rsid w:val="00853B3C"/>
    <w:rsid w:val="008541E7"/>
    <w:rsid w:val="008548F5"/>
    <w:rsid w:val="00854B16"/>
    <w:rsid w:val="00854C1F"/>
    <w:rsid w:val="00854DBD"/>
    <w:rsid w:val="00854DBF"/>
    <w:rsid w:val="008553D1"/>
    <w:rsid w:val="00855B9B"/>
    <w:rsid w:val="0085617E"/>
    <w:rsid w:val="0085697D"/>
    <w:rsid w:val="00856AB7"/>
    <w:rsid w:val="00857901"/>
    <w:rsid w:val="00857ADC"/>
    <w:rsid w:val="00857D02"/>
    <w:rsid w:val="00860A5F"/>
    <w:rsid w:val="00860EB0"/>
    <w:rsid w:val="00861805"/>
    <w:rsid w:val="00861A35"/>
    <w:rsid w:val="00861ADB"/>
    <w:rsid w:val="00861C10"/>
    <w:rsid w:val="00861ED1"/>
    <w:rsid w:val="00862D15"/>
    <w:rsid w:val="008635AC"/>
    <w:rsid w:val="008637D9"/>
    <w:rsid w:val="00863A68"/>
    <w:rsid w:val="00863CE2"/>
    <w:rsid w:val="0086411C"/>
    <w:rsid w:val="00864CF3"/>
    <w:rsid w:val="00864FBE"/>
    <w:rsid w:val="008656EA"/>
    <w:rsid w:val="00865733"/>
    <w:rsid w:val="00866BF6"/>
    <w:rsid w:val="008677C2"/>
    <w:rsid w:val="00867B32"/>
    <w:rsid w:val="00867C69"/>
    <w:rsid w:val="00872335"/>
    <w:rsid w:val="00873280"/>
    <w:rsid w:val="00873674"/>
    <w:rsid w:val="00873D5A"/>
    <w:rsid w:val="008742F8"/>
    <w:rsid w:val="00874850"/>
    <w:rsid w:val="008761EE"/>
    <w:rsid w:val="0087622F"/>
    <w:rsid w:val="0087630D"/>
    <w:rsid w:val="0087668F"/>
    <w:rsid w:val="00876EEE"/>
    <w:rsid w:val="00880002"/>
    <w:rsid w:val="00880B80"/>
    <w:rsid w:val="00880D73"/>
    <w:rsid w:val="008810BB"/>
    <w:rsid w:val="008811F4"/>
    <w:rsid w:val="0088194D"/>
    <w:rsid w:val="00881FF2"/>
    <w:rsid w:val="0088241E"/>
    <w:rsid w:val="00882863"/>
    <w:rsid w:val="008840ED"/>
    <w:rsid w:val="008844A0"/>
    <w:rsid w:val="0088488E"/>
    <w:rsid w:val="00884CC1"/>
    <w:rsid w:val="00884EEB"/>
    <w:rsid w:val="00885302"/>
    <w:rsid w:val="008866E3"/>
    <w:rsid w:val="00886E53"/>
    <w:rsid w:val="00886F21"/>
    <w:rsid w:val="00887EA4"/>
    <w:rsid w:val="00890B9B"/>
    <w:rsid w:val="00891590"/>
    <w:rsid w:val="008918B9"/>
    <w:rsid w:val="00891AF8"/>
    <w:rsid w:val="008921CD"/>
    <w:rsid w:val="008928C0"/>
    <w:rsid w:val="00892B05"/>
    <w:rsid w:val="00892EFC"/>
    <w:rsid w:val="00893257"/>
    <w:rsid w:val="00893438"/>
    <w:rsid w:val="00893CE6"/>
    <w:rsid w:val="00894108"/>
    <w:rsid w:val="00894E56"/>
    <w:rsid w:val="008952C7"/>
    <w:rsid w:val="00895680"/>
    <w:rsid w:val="00895924"/>
    <w:rsid w:val="008959EF"/>
    <w:rsid w:val="00895C6F"/>
    <w:rsid w:val="00896478"/>
    <w:rsid w:val="00896C56"/>
    <w:rsid w:val="00897062"/>
    <w:rsid w:val="008972C6"/>
    <w:rsid w:val="00897404"/>
    <w:rsid w:val="00897677"/>
    <w:rsid w:val="00897A9C"/>
    <w:rsid w:val="008A05BE"/>
    <w:rsid w:val="008A0E04"/>
    <w:rsid w:val="008A1087"/>
    <w:rsid w:val="008A1D03"/>
    <w:rsid w:val="008A1FE1"/>
    <w:rsid w:val="008A295F"/>
    <w:rsid w:val="008A2B66"/>
    <w:rsid w:val="008A3588"/>
    <w:rsid w:val="008A3AFD"/>
    <w:rsid w:val="008A3FEF"/>
    <w:rsid w:val="008A40CA"/>
    <w:rsid w:val="008A443A"/>
    <w:rsid w:val="008A46F4"/>
    <w:rsid w:val="008A4843"/>
    <w:rsid w:val="008A5285"/>
    <w:rsid w:val="008A5631"/>
    <w:rsid w:val="008A5F62"/>
    <w:rsid w:val="008A61C1"/>
    <w:rsid w:val="008A670B"/>
    <w:rsid w:val="008A6F20"/>
    <w:rsid w:val="008A6F8A"/>
    <w:rsid w:val="008A749E"/>
    <w:rsid w:val="008A773A"/>
    <w:rsid w:val="008A79FA"/>
    <w:rsid w:val="008B05FD"/>
    <w:rsid w:val="008B068B"/>
    <w:rsid w:val="008B0D25"/>
    <w:rsid w:val="008B1294"/>
    <w:rsid w:val="008B1940"/>
    <w:rsid w:val="008B1B5F"/>
    <w:rsid w:val="008B1CFA"/>
    <w:rsid w:val="008B24B5"/>
    <w:rsid w:val="008B2E45"/>
    <w:rsid w:val="008B3CA3"/>
    <w:rsid w:val="008B486B"/>
    <w:rsid w:val="008B4EA1"/>
    <w:rsid w:val="008B4F62"/>
    <w:rsid w:val="008B5205"/>
    <w:rsid w:val="008B52F3"/>
    <w:rsid w:val="008B5B6D"/>
    <w:rsid w:val="008B5CB7"/>
    <w:rsid w:val="008B6B2C"/>
    <w:rsid w:val="008B7523"/>
    <w:rsid w:val="008B777E"/>
    <w:rsid w:val="008C0E72"/>
    <w:rsid w:val="008C1200"/>
    <w:rsid w:val="008C136E"/>
    <w:rsid w:val="008C182D"/>
    <w:rsid w:val="008C242B"/>
    <w:rsid w:val="008C27EF"/>
    <w:rsid w:val="008C280A"/>
    <w:rsid w:val="008C2FDB"/>
    <w:rsid w:val="008C3D09"/>
    <w:rsid w:val="008C40D1"/>
    <w:rsid w:val="008C4B6F"/>
    <w:rsid w:val="008C6DA9"/>
    <w:rsid w:val="008C6FCE"/>
    <w:rsid w:val="008C7426"/>
    <w:rsid w:val="008C7D10"/>
    <w:rsid w:val="008C7D1E"/>
    <w:rsid w:val="008C7DD6"/>
    <w:rsid w:val="008D004D"/>
    <w:rsid w:val="008D01D3"/>
    <w:rsid w:val="008D0362"/>
    <w:rsid w:val="008D07FD"/>
    <w:rsid w:val="008D0B3B"/>
    <w:rsid w:val="008D0E6D"/>
    <w:rsid w:val="008D1066"/>
    <w:rsid w:val="008D128F"/>
    <w:rsid w:val="008D175E"/>
    <w:rsid w:val="008D1A36"/>
    <w:rsid w:val="008D1A72"/>
    <w:rsid w:val="008D1A90"/>
    <w:rsid w:val="008D1D27"/>
    <w:rsid w:val="008D1FCD"/>
    <w:rsid w:val="008D2CD4"/>
    <w:rsid w:val="008D2ED9"/>
    <w:rsid w:val="008D2F52"/>
    <w:rsid w:val="008D312D"/>
    <w:rsid w:val="008D3914"/>
    <w:rsid w:val="008D3F27"/>
    <w:rsid w:val="008D42B3"/>
    <w:rsid w:val="008D4AAA"/>
    <w:rsid w:val="008D54D6"/>
    <w:rsid w:val="008D5E9B"/>
    <w:rsid w:val="008D63FB"/>
    <w:rsid w:val="008D657C"/>
    <w:rsid w:val="008D6AB4"/>
    <w:rsid w:val="008D6B22"/>
    <w:rsid w:val="008D7350"/>
    <w:rsid w:val="008D7539"/>
    <w:rsid w:val="008D768D"/>
    <w:rsid w:val="008E019E"/>
    <w:rsid w:val="008E04A9"/>
    <w:rsid w:val="008E0C87"/>
    <w:rsid w:val="008E1164"/>
    <w:rsid w:val="008E1329"/>
    <w:rsid w:val="008E19C7"/>
    <w:rsid w:val="008E23FE"/>
    <w:rsid w:val="008E2E7F"/>
    <w:rsid w:val="008E3191"/>
    <w:rsid w:val="008E3CE0"/>
    <w:rsid w:val="008E406C"/>
    <w:rsid w:val="008E439E"/>
    <w:rsid w:val="008E480D"/>
    <w:rsid w:val="008E4E34"/>
    <w:rsid w:val="008E5008"/>
    <w:rsid w:val="008E5D8B"/>
    <w:rsid w:val="008E5F05"/>
    <w:rsid w:val="008E628A"/>
    <w:rsid w:val="008E64D2"/>
    <w:rsid w:val="008E6DBB"/>
    <w:rsid w:val="008E7161"/>
    <w:rsid w:val="008E72D9"/>
    <w:rsid w:val="008E7702"/>
    <w:rsid w:val="008E7A9E"/>
    <w:rsid w:val="008F035B"/>
    <w:rsid w:val="008F05BC"/>
    <w:rsid w:val="008F062E"/>
    <w:rsid w:val="008F0920"/>
    <w:rsid w:val="008F0CA1"/>
    <w:rsid w:val="008F0E70"/>
    <w:rsid w:val="008F295F"/>
    <w:rsid w:val="008F2ED4"/>
    <w:rsid w:val="008F304D"/>
    <w:rsid w:val="008F3DFB"/>
    <w:rsid w:val="008F4494"/>
    <w:rsid w:val="008F4CB8"/>
    <w:rsid w:val="008F52A6"/>
    <w:rsid w:val="008F6390"/>
    <w:rsid w:val="008F66C9"/>
    <w:rsid w:val="008F7429"/>
    <w:rsid w:val="008F75F3"/>
    <w:rsid w:val="00900532"/>
    <w:rsid w:val="009008EE"/>
    <w:rsid w:val="00900D5F"/>
    <w:rsid w:val="00901196"/>
    <w:rsid w:val="009013FD"/>
    <w:rsid w:val="00901FDB"/>
    <w:rsid w:val="00902620"/>
    <w:rsid w:val="0090268E"/>
    <w:rsid w:val="009026DE"/>
    <w:rsid w:val="009028AE"/>
    <w:rsid w:val="00902963"/>
    <w:rsid w:val="00902DC8"/>
    <w:rsid w:val="00902DD6"/>
    <w:rsid w:val="00903311"/>
    <w:rsid w:val="00903E90"/>
    <w:rsid w:val="009041C9"/>
    <w:rsid w:val="0090426E"/>
    <w:rsid w:val="0090468B"/>
    <w:rsid w:val="00904BA6"/>
    <w:rsid w:val="00904C56"/>
    <w:rsid w:val="00904C5E"/>
    <w:rsid w:val="00905AB9"/>
    <w:rsid w:val="00905E31"/>
    <w:rsid w:val="009065CF"/>
    <w:rsid w:val="00906A9A"/>
    <w:rsid w:val="00906ECE"/>
    <w:rsid w:val="00907487"/>
    <w:rsid w:val="009077E2"/>
    <w:rsid w:val="00910E4C"/>
    <w:rsid w:val="00911191"/>
    <w:rsid w:val="00911583"/>
    <w:rsid w:val="009118E8"/>
    <w:rsid w:val="00912646"/>
    <w:rsid w:val="009129C0"/>
    <w:rsid w:val="00912E83"/>
    <w:rsid w:val="00912FAB"/>
    <w:rsid w:val="009136DD"/>
    <w:rsid w:val="009137AC"/>
    <w:rsid w:val="009137E9"/>
    <w:rsid w:val="00913C5F"/>
    <w:rsid w:val="009149B7"/>
    <w:rsid w:val="00914D35"/>
    <w:rsid w:val="0091557D"/>
    <w:rsid w:val="009160A7"/>
    <w:rsid w:val="0091636E"/>
    <w:rsid w:val="00917C56"/>
    <w:rsid w:val="00920196"/>
    <w:rsid w:val="00920374"/>
    <w:rsid w:val="00920569"/>
    <w:rsid w:val="009206E4"/>
    <w:rsid w:val="009212EB"/>
    <w:rsid w:val="009219FC"/>
    <w:rsid w:val="00921BD1"/>
    <w:rsid w:val="00921EBD"/>
    <w:rsid w:val="009224E3"/>
    <w:rsid w:val="0092260A"/>
    <w:rsid w:val="00922794"/>
    <w:rsid w:val="00922A62"/>
    <w:rsid w:val="00922BBF"/>
    <w:rsid w:val="00923437"/>
    <w:rsid w:val="0092424D"/>
    <w:rsid w:val="009245F0"/>
    <w:rsid w:val="0092460D"/>
    <w:rsid w:val="0092497C"/>
    <w:rsid w:val="00925558"/>
    <w:rsid w:val="00925A07"/>
    <w:rsid w:val="00925ABB"/>
    <w:rsid w:val="0092603E"/>
    <w:rsid w:val="0092633F"/>
    <w:rsid w:val="009266EE"/>
    <w:rsid w:val="009267EE"/>
    <w:rsid w:val="00926A4E"/>
    <w:rsid w:val="00926B10"/>
    <w:rsid w:val="009273AA"/>
    <w:rsid w:val="00927980"/>
    <w:rsid w:val="00930B68"/>
    <w:rsid w:val="0093142F"/>
    <w:rsid w:val="009315C3"/>
    <w:rsid w:val="00931E4A"/>
    <w:rsid w:val="009325BE"/>
    <w:rsid w:val="009329E9"/>
    <w:rsid w:val="00932BA6"/>
    <w:rsid w:val="009334CE"/>
    <w:rsid w:val="00933568"/>
    <w:rsid w:val="0093360D"/>
    <w:rsid w:val="00933901"/>
    <w:rsid w:val="00933D70"/>
    <w:rsid w:val="00933DFA"/>
    <w:rsid w:val="00933E63"/>
    <w:rsid w:val="00935955"/>
    <w:rsid w:val="009361D5"/>
    <w:rsid w:val="009363AC"/>
    <w:rsid w:val="009368AA"/>
    <w:rsid w:val="00937C3A"/>
    <w:rsid w:val="0094056A"/>
    <w:rsid w:val="00940619"/>
    <w:rsid w:val="00940696"/>
    <w:rsid w:val="00941B55"/>
    <w:rsid w:val="00941DFF"/>
    <w:rsid w:val="00942230"/>
    <w:rsid w:val="0094284F"/>
    <w:rsid w:val="009432A0"/>
    <w:rsid w:val="009440FC"/>
    <w:rsid w:val="00944795"/>
    <w:rsid w:val="00945A18"/>
    <w:rsid w:val="00945D0A"/>
    <w:rsid w:val="009463AB"/>
    <w:rsid w:val="009477F0"/>
    <w:rsid w:val="0094799E"/>
    <w:rsid w:val="00947DCD"/>
    <w:rsid w:val="00950CCC"/>
    <w:rsid w:val="00950D1A"/>
    <w:rsid w:val="009510A1"/>
    <w:rsid w:val="00951AE5"/>
    <w:rsid w:val="00952A9A"/>
    <w:rsid w:val="00953898"/>
    <w:rsid w:val="00953C27"/>
    <w:rsid w:val="00953C6E"/>
    <w:rsid w:val="00954D2A"/>
    <w:rsid w:val="00955177"/>
    <w:rsid w:val="009559DE"/>
    <w:rsid w:val="0095650A"/>
    <w:rsid w:val="0095721D"/>
    <w:rsid w:val="00957FF4"/>
    <w:rsid w:val="0096019D"/>
    <w:rsid w:val="00961224"/>
    <w:rsid w:val="00961483"/>
    <w:rsid w:val="00962351"/>
    <w:rsid w:val="00962D6A"/>
    <w:rsid w:val="0096316C"/>
    <w:rsid w:val="0096356B"/>
    <w:rsid w:val="009635D6"/>
    <w:rsid w:val="00963BE3"/>
    <w:rsid w:val="0096440F"/>
    <w:rsid w:val="00964C3B"/>
    <w:rsid w:val="00964E67"/>
    <w:rsid w:val="00964F7B"/>
    <w:rsid w:val="00965195"/>
    <w:rsid w:val="009651D1"/>
    <w:rsid w:val="009656F1"/>
    <w:rsid w:val="00965C0B"/>
    <w:rsid w:val="00965DC2"/>
    <w:rsid w:val="009660A3"/>
    <w:rsid w:val="009663A4"/>
    <w:rsid w:val="0096723B"/>
    <w:rsid w:val="009673BD"/>
    <w:rsid w:val="0096771F"/>
    <w:rsid w:val="00967815"/>
    <w:rsid w:val="00967A47"/>
    <w:rsid w:val="00971763"/>
    <w:rsid w:val="00971AFC"/>
    <w:rsid w:val="009732EA"/>
    <w:rsid w:val="00973308"/>
    <w:rsid w:val="00973361"/>
    <w:rsid w:val="00973607"/>
    <w:rsid w:val="00973E51"/>
    <w:rsid w:val="00973F98"/>
    <w:rsid w:val="00974148"/>
    <w:rsid w:val="00974188"/>
    <w:rsid w:val="00974E58"/>
    <w:rsid w:val="00974FCB"/>
    <w:rsid w:val="00975BCF"/>
    <w:rsid w:val="009764B6"/>
    <w:rsid w:val="009766BC"/>
    <w:rsid w:val="00980090"/>
    <w:rsid w:val="0098020F"/>
    <w:rsid w:val="009805A0"/>
    <w:rsid w:val="00980614"/>
    <w:rsid w:val="009807BE"/>
    <w:rsid w:val="00982784"/>
    <w:rsid w:val="00983958"/>
    <w:rsid w:val="009840D0"/>
    <w:rsid w:val="00984254"/>
    <w:rsid w:val="00985670"/>
    <w:rsid w:val="00986C80"/>
    <w:rsid w:val="00986C89"/>
    <w:rsid w:val="009873B7"/>
    <w:rsid w:val="009873F0"/>
    <w:rsid w:val="00987840"/>
    <w:rsid w:val="00987965"/>
    <w:rsid w:val="00987B77"/>
    <w:rsid w:val="009900DC"/>
    <w:rsid w:val="00990168"/>
    <w:rsid w:val="0099046C"/>
    <w:rsid w:val="00990F51"/>
    <w:rsid w:val="0099106B"/>
    <w:rsid w:val="009911D7"/>
    <w:rsid w:val="00991273"/>
    <w:rsid w:val="009913D2"/>
    <w:rsid w:val="009916E6"/>
    <w:rsid w:val="00991723"/>
    <w:rsid w:val="00991CB2"/>
    <w:rsid w:val="00991CFF"/>
    <w:rsid w:val="00991F79"/>
    <w:rsid w:val="009924D5"/>
    <w:rsid w:val="009926E7"/>
    <w:rsid w:val="009929FD"/>
    <w:rsid w:val="00993BF5"/>
    <w:rsid w:val="00994CED"/>
    <w:rsid w:val="00994DE1"/>
    <w:rsid w:val="009951F1"/>
    <w:rsid w:val="00995336"/>
    <w:rsid w:val="00995899"/>
    <w:rsid w:val="009959BA"/>
    <w:rsid w:val="00995A85"/>
    <w:rsid w:val="00995AB8"/>
    <w:rsid w:val="00996829"/>
    <w:rsid w:val="0099687A"/>
    <w:rsid w:val="00997785"/>
    <w:rsid w:val="00997FC2"/>
    <w:rsid w:val="009A04C9"/>
    <w:rsid w:val="009A0A87"/>
    <w:rsid w:val="009A23FA"/>
    <w:rsid w:val="009A2FBA"/>
    <w:rsid w:val="009A3182"/>
    <w:rsid w:val="009A3827"/>
    <w:rsid w:val="009A4FF9"/>
    <w:rsid w:val="009A5162"/>
    <w:rsid w:val="009A5B43"/>
    <w:rsid w:val="009A5DAD"/>
    <w:rsid w:val="009A6303"/>
    <w:rsid w:val="009A633E"/>
    <w:rsid w:val="009B0AAF"/>
    <w:rsid w:val="009B0CE9"/>
    <w:rsid w:val="009B0FDD"/>
    <w:rsid w:val="009B14A5"/>
    <w:rsid w:val="009B1F55"/>
    <w:rsid w:val="009B309B"/>
    <w:rsid w:val="009B3396"/>
    <w:rsid w:val="009B3B4D"/>
    <w:rsid w:val="009B3B7C"/>
    <w:rsid w:val="009B3CC9"/>
    <w:rsid w:val="009B476C"/>
    <w:rsid w:val="009B4A0C"/>
    <w:rsid w:val="009B4C2F"/>
    <w:rsid w:val="009B507A"/>
    <w:rsid w:val="009B5ACF"/>
    <w:rsid w:val="009B5EA3"/>
    <w:rsid w:val="009B601A"/>
    <w:rsid w:val="009B609B"/>
    <w:rsid w:val="009B6D38"/>
    <w:rsid w:val="009B7580"/>
    <w:rsid w:val="009B7B50"/>
    <w:rsid w:val="009B7CAA"/>
    <w:rsid w:val="009B7CE6"/>
    <w:rsid w:val="009B7DCA"/>
    <w:rsid w:val="009C0056"/>
    <w:rsid w:val="009C00D9"/>
    <w:rsid w:val="009C0328"/>
    <w:rsid w:val="009C160C"/>
    <w:rsid w:val="009C1937"/>
    <w:rsid w:val="009C32C6"/>
    <w:rsid w:val="009C3CE9"/>
    <w:rsid w:val="009C3D75"/>
    <w:rsid w:val="009C462B"/>
    <w:rsid w:val="009C4946"/>
    <w:rsid w:val="009C4E33"/>
    <w:rsid w:val="009C515A"/>
    <w:rsid w:val="009C56E4"/>
    <w:rsid w:val="009C5C89"/>
    <w:rsid w:val="009D0CD7"/>
    <w:rsid w:val="009D0F82"/>
    <w:rsid w:val="009D1126"/>
    <w:rsid w:val="009D3322"/>
    <w:rsid w:val="009D351B"/>
    <w:rsid w:val="009D37CB"/>
    <w:rsid w:val="009D453E"/>
    <w:rsid w:val="009D4D1D"/>
    <w:rsid w:val="009D4E8D"/>
    <w:rsid w:val="009D4F6C"/>
    <w:rsid w:val="009D5CFB"/>
    <w:rsid w:val="009D65E7"/>
    <w:rsid w:val="009D6606"/>
    <w:rsid w:val="009D664B"/>
    <w:rsid w:val="009D6E00"/>
    <w:rsid w:val="009D6EEE"/>
    <w:rsid w:val="009D6F53"/>
    <w:rsid w:val="009D6F81"/>
    <w:rsid w:val="009D71CA"/>
    <w:rsid w:val="009D7644"/>
    <w:rsid w:val="009D7857"/>
    <w:rsid w:val="009E0817"/>
    <w:rsid w:val="009E0932"/>
    <w:rsid w:val="009E0CCC"/>
    <w:rsid w:val="009E0CCF"/>
    <w:rsid w:val="009E0EE7"/>
    <w:rsid w:val="009E1295"/>
    <w:rsid w:val="009E1612"/>
    <w:rsid w:val="009E1908"/>
    <w:rsid w:val="009E1E89"/>
    <w:rsid w:val="009E2281"/>
    <w:rsid w:val="009E2636"/>
    <w:rsid w:val="009E33A9"/>
    <w:rsid w:val="009E3615"/>
    <w:rsid w:val="009E3651"/>
    <w:rsid w:val="009E37A2"/>
    <w:rsid w:val="009E41B0"/>
    <w:rsid w:val="009E48EE"/>
    <w:rsid w:val="009E4C0D"/>
    <w:rsid w:val="009E4C6A"/>
    <w:rsid w:val="009E5704"/>
    <w:rsid w:val="009E5724"/>
    <w:rsid w:val="009E5AD5"/>
    <w:rsid w:val="009E5D7B"/>
    <w:rsid w:val="009E662C"/>
    <w:rsid w:val="009E66F6"/>
    <w:rsid w:val="009E6D1B"/>
    <w:rsid w:val="009E751A"/>
    <w:rsid w:val="009E7748"/>
    <w:rsid w:val="009E78F8"/>
    <w:rsid w:val="009E7D57"/>
    <w:rsid w:val="009E7D5E"/>
    <w:rsid w:val="009F0674"/>
    <w:rsid w:val="009F06C8"/>
    <w:rsid w:val="009F0AD3"/>
    <w:rsid w:val="009F0C0D"/>
    <w:rsid w:val="009F0CF2"/>
    <w:rsid w:val="009F18BA"/>
    <w:rsid w:val="009F1CBB"/>
    <w:rsid w:val="009F204A"/>
    <w:rsid w:val="009F22BA"/>
    <w:rsid w:val="009F2472"/>
    <w:rsid w:val="009F251E"/>
    <w:rsid w:val="009F2DD1"/>
    <w:rsid w:val="009F3856"/>
    <w:rsid w:val="009F3EFA"/>
    <w:rsid w:val="009F4CE1"/>
    <w:rsid w:val="009F530B"/>
    <w:rsid w:val="009F5EB5"/>
    <w:rsid w:val="009F6029"/>
    <w:rsid w:val="009F6786"/>
    <w:rsid w:val="009F6B32"/>
    <w:rsid w:val="009F72FC"/>
    <w:rsid w:val="00A00B55"/>
    <w:rsid w:val="00A00D07"/>
    <w:rsid w:val="00A00F50"/>
    <w:rsid w:val="00A015B5"/>
    <w:rsid w:val="00A01AFA"/>
    <w:rsid w:val="00A02862"/>
    <w:rsid w:val="00A02B3D"/>
    <w:rsid w:val="00A03C91"/>
    <w:rsid w:val="00A043C6"/>
    <w:rsid w:val="00A051FA"/>
    <w:rsid w:val="00A05742"/>
    <w:rsid w:val="00A05BD0"/>
    <w:rsid w:val="00A06442"/>
    <w:rsid w:val="00A06BD0"/>
    <w:rsid w:val="00A0723E"/>
    <w:rsid w:val="00A1035F"/>
    <w:rsid w:val="00A1076C"/>
    <w:rsid w:val="00A108EA"/>
    <w:rsid w:val="00A1148F"/>
    <w:rsid w:val="00A11528"/>
    <w:rsid w:val="00A1156D"/>
    <w:rsid w:val="00A11B82"/>
    <w:rsid w:val="00A11D5F"/>
    <w:rsid w:val="00A11F36"/>
    <w:rsid w:val="00A14A72"/>
    <w:rsid w:val="00A14AB5"/>
    <w:rsid w:val="00A14CC9"/>
    <w:rsid w:val="00A14F25"/>
    <w:rsid w:val="00A155A3"/>
    <w:rsid w:val="00A1595C"/>
    <w:rsid w:val="00A15974"/>
    <w:rsid w:val="00A15C15"/>
    <w:rsid w:val="00A15C83"/>
    <w:rsid w:val="00A165A8"/>
    <w:rsid w:val="00A16BD2"/>
    <w:rsid w:val="00A16CF0"/>
    <w:rsid w:val="00A170EC"/>
    <w:rsid w:val="00A17302"/>
    <w:rsid w:val="00A1750F"/>
    <w:rsid w:val="00A175C5"/>
    <w:rsid w:val="00A1769F"/>
    <w:rsid w:val="00A1794F"/>
    <w:rsid w:val="00A20030"/>
    <w:rsid w:val="00A202E1"/>
    <w:rsid w:val="00A20DB5"/>
    <w:rsid w:val="00A21165"/>
    <w:rsid w:val="00A21471"/>
    <w:rsid w:val="00A217DC"/>
    <w:rsid w:val="00A2216C"/>
    <w:rsid w:val="00A224AE"/>
    <w:rsid w:val="00A228AC"/>
    <w:rsid w:val="00A22AB9"/>
    <w:rsid w:val="00A23000"/>
    <w:rsid w:val="00A234B8"/>
    <w:rsid w:val="00A24C24"/>
    <w:rsid w:val="00A24E18"/>
    <w:rsid w:val="00A24ED4"/>
    <w:rsid w:val="00A2568D"/>
    <w:rsid w:val="00A25B75"/>
    <w:rsid w:val="00A2614E"/>
    <w:rsid w:val="00A2683A"/>
    <w:rsid w:val="00A2691C"/>
    <w:rsid w:val="00A27A1B"/>
    <w:rsid w:val="00A27B80"/>
    <w:rsid w:val="00A3024C"/>
    <w:rsid w:val="00A307D1"/>
    <w:rsid w:val="00A30810"/>
    <w:rsid w:val="00A309B1"/>
    <w:rsid w:val="00A30BFF"/>
    <w:rsid w:val="00A312C7"/>
    <w:rsid w:val="00A313D8"/>
    <w:rsid w:val="00A3172B"/>
    <w:rsid w:val="00A31E5C"/>
    <w:rsid w:val="00A324FA"/>
    <w:rsid w:val="00A325A4"/>
    <w:rsid w:val="00A32DE3"/>
    <w:rsid w:val="00A330A6"/>
    <w:rsid w:val="00A331F5"/>
    <w:rsid w:val="00A334F4"/>
    <w:rsid w:val="00A33F11"/>
    <w:rsid w:val="00A3423C"/>
    <w:rsid w:val="00A353B6"/>
    <w:rsid w:val="00A35A1A"/>
    <w:rsid w:val="00A35DF9"/>
    <w:rsid w:val="00A36258"/>
    <w:rsid w:val="00A364B1"/>
    <w:rsid w:val="00A3691C"/>
    <w:rsid w:val="00A36ACD"/>
    <w:rsid w:val="00A36EDC"/>
    <w:rsid w:val="00A372AB"/>
    <w:rsid w:val="00A3730E"/>
    <w:rsid w:val="00A37A57"/>
    <w:rsid w:val="00A37CD9"/>
    <w:rsid w:val="00A37FC8"/>
    <w:rsid w:val="00A40CFF"/>
    <w:rsid w:val="00A4107E"/>
    <w:rsid w:val="00A4111F"/>
    <w:rsid w:val="00A41672"/>
    <w:rsid w:val="00A41A63"/>
    <w:rsid w:val="00A4280A"/>
    <w:rsid w:val="00A4295E"/>
    <w:rsid w:val="00A42994"/>
    <w:rsid w:val="00A42D05"/>
    <w:rsid w:val="00A432A0"/>
    <w:rsid w:val="00A434F5"/>
    <w:rsid w:val="00A435E0"/>
    <w:rsid w:val="00A438A8"/>
    <w:rsid w:val="00A438E0"/>
    <w:rsid w:val="00A4393C"/>
    <w:rsid w:val="00A439B2"/>
    <w:rsid w:val="00A44474"/>
    <w:rsid w:val="00A44BCC"/>
    <w:rsid w:val="00A44DCE"/>
    <w:rsid w:val="00A450EF"/>
    <w:rsid w:val="00A45858"/>
    <w:rsid w:val="00A45998"/>
    <w:rsid w:val="00A45C54"/>
    <w:rsid w:val="00A46C34"/>
    <w:rsid w:val="00A4775B"/>
    <w:rsid w:val="00A477DD"/>
    <w:rsid w:val="00A47EA6"/>
    <w:rsid w:val="00A502DB"/>
    <w:rsid w:val="00A51419"/>
    <w:rsid w:val="00A52054"/>
    <w:rsid w:val="00A5307C"/>
    <w:rsid w:val="00A53920"/>
    <w:rsid w:val="00A53BAA"/>
    <w:rsid w:val="00A53D30"/>
    <w:rsid w:val="00A54434"/>
    <w:rsid w:val="00A54B18"/>
    <w:rsid w:val="00A54B32"/>
    <w:rsid w:val="00A551BE"/>
    <w:rsid w:val="00A56371"/>
    <w:rsid w:val="00A56C97"/>
    <w:rsid w:val="00A571B3"/>
    <w:rsid w:val="00A5746B"/>
    <w:rsid w:val="00A574B1"/>
    <w:rsid w:val="00A575B1"/>
    <w:rsid w:val="00A57C7C"/>
    <w:rsid w:val="00A60031"/>
    <w:rsid w:val="00A60138"/>
    <w:rsid w:val="00A60241"/>
    <w:rsid w:val="00A6033C"/>
    <w:rsid w:val="00A6038A"/>
    <w:rsid w:val="00A60568"/>
    <w:rsid w:val="00A61838"/>
    <w:rsid w:val="00A61D1B"/>
    <w:rsid w:val="00A622F6"/>
    <w:rsid w:val="00A6247E"/>
    <w:rsid w:val="00A62662"/>
    <w:rsid w:val="00A62948"/>
    <w:rsid w:val="00A63150"/>
    <w:rsid w:val="00A63612"/>
    <w:rsid w:val="00A63D6E"/>
    <w:rsid w:val="00A64AE3"/>
    <w:rsid w:val="00A656CA"/>
    <w:rsid w:val="00A659F7"/>
    <w:rsid w:val="00A65A22"/>
    <w:rsid w:val="00A65C66"/>
    <w:rsid w:val="00A662BB"/>
    <w:rsid w:val="00A663D6"/>
    <w:rsid w:val="00A666FC"/>
    <w:rsid w:val="00A667EC"/>
    <w:rsid w:val="00A66BD4"/>
    <w:rsid w:val="00A67846"/>
    <w:rsid w:val="00A70457"/>
    <w:rsid w:val="00A70D38"/>
    <w:rsid w:val="00A71219"/>
    <w:rsid w:val="00A718F3"/>
    <w:rsid w:val="00A724A3"/>
    <w:rsid w:val="00A72545"/>
    <w:rsid w:val="00A72EC9"/>
    <w:rsid w:val="00A72FCD"/>
    <w:rsid w:val="00A730FF"/>
    <w:rsid w:val="00A74239"/>
    <w:rsid w:val="00A752B5"/>
    <w:rsid w:val="00A754B6"/>
    <w:rsid w:val="00A756E7"/>
    <w:rsid w:val="00A766B7"/>
    <w:rsid w:val="00A7750A"/>
    <w:rsid w:val="00A7758E"/>
    <w:rsid w:val="00A777D7"/>
    <w:rsid w:val="00A8016D"/>
    <w:rsid w:val="00A801F6"/>
    <w:rsid w:val="00A8027B"/>
    <w:rsid w:val="00A81B5A"/>
    <w:rsid w:val="00A822CC"/>
    <w:rsid w:val="00A827A1"/>
    <w:rsid w:val="00A8302C"/>
    <w:rsid w:val="00A859A7"/>
    <w:rsid w:val="00A86723"/>
    <w:rsid w:val="00A8694B"/>
    <w:rsid w:val="00A875C6"/>
    <w:rsid w:val="00A87849"/>
    <w:rsid w:val="00A87C83"/>
    <w:rsid w:val="00A91130"/>
    <w:rsid w:val="00A91DFB"/>
    <w:rsid w:val="00A9225D"/>
    <w:rsid w:val="00A9232D"/>
    <w:rsid w:val="00A92AF9"/>
    <w:rsid w:val="00A937BC"/>
    <w:rsid w:val="00A93B73"/>
    <w:rsid w:val="00A93D84"/>
    <w:rsid w:val="00A94951"/>
    <w:rsid w:val="00A94CBF"/>
    <w:rsid w:val="00A95340"/>
    <w:rsid w:val="00A95993"/>
    <w:rsid w:val="00A95BEA"/>
    <w:rsid w:val="00A95F11"/>
    <w:rsid w:val="00A96723"/>
    <w:rsid w:val="00A97273"/>
    <w:rsid w:val="00A97389"/>
    <w:rsid w:val="00A976D6"/>
    <w:rsid w:val="00A97738"/>
    <w:rsid w:val="00AA0A2B"/>
    <w:rsid w:val="00AA0B97"/>
    <w:rsid w:val="00AA0CE7"/>
    <w:rsid w:val="00AA13A5"/>
    <w:rsid w:val="00AA1550"/>
    <w:rsid w:val="00AA209B"/>
    <w:rsid w:val="00AA2272"/>
    <w:rsid w:val="00AA2442"/>
    <w:rsid w:val="00AA2C72"/>
    <w:rsid w:val="00AA343F"/>
    <w:rsid w:val="00AA3BAC"/>
    <w:rsid w:val="00AA463A"/>
    <w:rsid w:val="00AA568F"/>
    <w:rsid w:val="00AA57D4"/>
    <w:rsid w:val="00AA58F5"/>
    <w:rsid w:val="00AA5949"/>
    <w:rsid w:val="00AA59F3"/>
    <w:rsid w:val="00AA5C96"/>
    <w:rsid w:val="00AA6050"/>
    <w:rsid w:val="00AA6E2C"/>
    <w:rsid w:val="00AA6FD8"/>
    <w:rsid w:val="00AA7B44"/>
    <w:rsid w:val="00AA7C36"/>
    <w:rsid w:val="00AB08FF"/>
    <w:rsid w:val="00AB0A4F"/>
    <w:rsid w:val="00AB0DA9"/>
    <w:rsid w:val="00AB1219"/>
    <w:rsid w:val="00AB14DE"/>
    <w:rsid w:val="00AB1A05"/>
    <w:rsid w:val="00AB1A49"/>
    <w:rsid w:val="00AB2310"/>
    <w:rsid w:val="00AB233E"/>
    <w:rsid w:val="00AB25CC"/>
    <w:rsid w:val="00AB3064"/>
    <w:rsid w:val="00AB3D7E"/>
    <w:rsid w:val="00AB4381"/>
    <w:rsid w:val="00AB47E2"/>
    <w:rsid w:val="00AB541C"/>
    <w:rsid w:val="00AB54F8"/>
    <w:rsid w:val="00AB67BA"/>
    <w:rsid w:val="00AB67C7"/>
    <w:rsid w:val="00AB7030"/>
    <w:rsid w:val="00AB7153"/>
    <w:rsid w:val="00AC0017"/>
    <w:rsid w:val="00AC0058"/>
    <w:rsid w:val="00AC02FE"/>
    <w:rsid w:val="00AC0BD9"/>
    <w:rsid w:val="00AC15F3"/>
    <w:rsid w:val="00AC172A"/>
    <w:rsid w:val="00AC1A6C"/>
    <w:rsid w:val="00AC1EF3"/>
    <w:rsid w:val="00AC1FF3"/>
    <w:rsid w:val="00AC2006"/>
    <w:rsid w:val="00AC2DCD"/>
    <w:rsid w:val="00AC32EA"/>
    <w:rsid w:val="00AC3524"/>
    <w:rsid w:val="00AC36FD"/>
    <w:rsid w:val="00AC3CBA"/>
    <w:rsid w:val="00AC4153"/>
    <w:rsid w:val="00AC43A7"/>
    <w:rsid w:val="00AC43AF"/>
    <w:rsid w:val="00AC4491"/>
    <w:rsid w:val="00AC4609"/>
    <w:rsid w:val="00AC4AAA"/>
    <w:rsid w:val="00AC64AF"/>
    <w:rsid w:val="00AC64F6"/>
    <w:rsid w:val="00AC6BAC"/>
    <w:rsid w:val="00AC6D41"/>
    <w:rsid w:val="00AC6DD5"/>
    <w:rsid w:val="00AC6E2D"/>
    <w:rsid w:val="00AC6EDB"/>
    <w:rsid w:val="00AD0672"/>
    <w:rsid w:val="00AD1783"/>
    <w:rsid w:val="00AD195C"/>
    <w:rsid w:val="00AD1C47"/>
    <w:rsid w:val="00AD1D04"/>
    <w:rsid w:val="00AD29E4"/>
    <w:rsid w:val="00AD2A87"/>
    <w:rsid w:val="00AD2DAD"/>
    <w:rsid w:val="00AD3F0E"/>
    <w:rsid w:val="00AD4269"/>
    <w:rsid w:val="00AD4A4D"/>
    <w:rsid w:val="00AD4D3D"/>
    <w:rsid w:val="00AD505B"/>
    <w:rsid w:val="00AD5E48"/>
    <w:rsid w:val="00AD62C5"/>
    <w:rsid w:val="00AD6B3E"/>
    <w:rsid w:val="00AD6C61"/>
    <w:rsid w:val="00AD7067"/>
    <w:rsid w:val="00AD7B61"/>
    <w:rsid w:val="00AD7B7B"/>
    <w:rsid w:val="00AD7FF0"/>
    <w:rsid w:val="00AE03BB"/>
    <w:rsid w:val="00AE0C39"/>
    <w:rsid w:val="00AE0D36"/>
    <w:rsid w:val="00AE27D2"/>
    <w:rsid w:val="00AE2C9D"/>
    <w:rsid w:val="00AE2CA0"/>
    <w:rsid w:val="00AE3232"/>
    <w:rsid w:val="00AE39DE"/>
    <w:rsid w:val="00AE3A88"/>
    <w:rsid w:val="00AE3A94"/>
    <w:rsid w:val="00AE3EB3"/>
    <w:rsid w:val="00AE4014"/>
    <w:rsid w:val="00AE436C"/>
    <w:rsid w:val="00AE4395"/>
    <w:rsid w:val="00AE43A6"/>
    <w:rsid w:val="00AE5440"/>
    <w:rsid w:val="00AE56F1"/>
    <w:rsid w:val="00AE5A65"/>
    <w:rsid w:val="00AE5F1C"/>
    <w:rsid w:val="00AE6CCC"/>
    <w:rsid w:val="00AE6D1C"/>
    <w:rsid w:val="00AE6E8A"/>
    <w:rsid w:val="00AE6F55"/>
    <w:rsid w:val="00AE732B"/>
    <w:rsid w:val="00AE7BC2"/>
    <w:rsid w:val="00AF0798"/>
    <w:rsid w:val="00AF0A2A"/>
    <w:rsid w:val="00AF10FE"/>
    <w:rsid w:val="00AF2158"/>
    <w:rsid w:val="00AF22EF"/>
    <w:rsid w:val="00AF29A7"/>
    <w:rsid w:val="00AF2C6A"/>
    <w:rsid w:val="00AF30A7"/>
    <w:rsid w:val="00AF311B"/>
    <w:rsid w:val="00AF3459"/>
    <w:rsid w:val="00AF34B8"/>
    <w:rsid w:val="00AF49A6"/>
    <w:rsid w:val="00AF5624"/>
    <w:rsid w:val="00AF58BA"/>
    <w:rsid w:val="00AF59AC"/>
    <w:rsid w:val="00AF5B93"/>
    <w:rsid w:val="00AF5D14"/>
    <w:rsid w:val="00AF7651"/>
    <w:rsid w:val="00B00843"/>
    <w:rsid w:val="00B00D0C"/>
    <w:rsid w:val="00B00F20"/>
    <w:rsid w:val="00B010AB"/>
    <w:rsid w:val="00B012A5"/>
    <w:rsid w:val="00B01F55"/>
    <w:rsid w:val="00B0294A"/>
    <w:rsid w:val="00B029AF"/>
    <w:rsid w:val="00B029D0"/>
    <w:rsid w:val="00B02D2A"/>
    <w:rsid w:val="00B0301B"/>
    <w:rsid w:val="00B039B4"/>
    <w:rsid w:val="00B04895"/>
    <w:rsid w:val="00B04CCC"/>
    <w:rsid w:val="00B04F55"/>
    <w:rsid w:val="00B04F5D"/>
    <w:rsid w:val="00B05059"/>
    <w:rsid w:val="00B052AD"/>
    <w:rsid w:val="00B053A5"/>
    <w:rsid w:val="00B05A84"/>
    <w:rsid w:val="00B0725A"/>
    <w:rsid w:val="00B075F1"/>
    <w:rsid w:val="00B07AC8"/>
    <w:rsid w:val="00B07B03"/>
    <w:rsid w:val="00B07E76"/>
    <w:rsid w:val="00B106E2"/>
    <w:rsid w:val="00B10974"/>
    <w:rsid w:val="00B1128D"/>
    <w:rsid w:val="00B1176C"/>
    <w:rsid w:val="00B117F5"/>
    <w:rsid w:val="00B12572"/>
    <w:rsid w:val="00B128E6"/>
    <w:rsid w:val="00B12C5A"/>
    <w:rsid w:val="00B13F9D"/>
    <w:rsid w:val="00B14739"/>
    <w:rsid w:val="00B14E4C"/>
    <w:rsid w:val="00B160B8"/>
    <w:rsid w:val="00B17642"/>
    <w:rsid w:val="00B17F2F"/>
    <w:rsid w:val="00B20128"/>
    <w:rsid w:val="00B20288"/>
    <w:rsid w:val="00B20884"/>
    <w:rsid w:val="00B20E5F"/>
    <w:rsid w:val="00B21B84"/>
    <w:rsid w:val="00B22387"/>
    <w:rsid w:val="00B22997"/>
    <w:rsid w:val="00B22A7E"/>
    <w:rsid w:val="00B23E15"/>
    <w:rsid w:val="00B24008"/>
    <w:rsid w:val="00B240CE"/>
    <w:rsid w:val="00B24926"/>
    <w:rsid w:val="00B25787"/>
    <w:rsid w:val="00B25A0C"/>
    <w:rsid w:val="00B26B08"/>
    <w:rsid w:val="00B27405"/>
    <w:rsid w:val="00B27F48"/>
    <w:rsid w:val="00B30414"/>
    <w:rsid w:val="00B306C2"/>
    <w:rsid w:val="00B30EFE"/>
    <w:rsid w:val="00B3319B"/>
    <w:rsid w:val="00B3427A"/>
    <w:rsid w:val="00B3436C"/>
    <w:rsid w:val="00B35421"/>
    <w:rsid w:val="00B36036"/>
    <w:rsid w:val="00B360CE"/>
    <w:rsid w:val="00B3723F"/>
    <w:rsid w:val="00B372B0"/>
    <w:rsid w:val="00B37C61"/>
    <w:rsid w:val="00B40082"/>
    <w:rsid w:val="00B40187"/>
    <w:rsid w:val="00B401A5"/>
    <w:rsid w:val="00B402B0"/>
    <w:rsid w:val="00B40954"/>
    <w:rsid w:val="00B40C7D"/>
    <w:rsid w:val="00B41094"/>
    <w:rsid w:val="00B41691"/>
    <w:rsid w:val="00B416E3"/>
    <w:rsid w:val="00B41BAC"/>
    <w:rsid w:val="00B4256E"/>
    <w:rsid w:val="00B42633"/>
    <w:rsid w:val="00B427E2"/>
    <w:rsid w:val="00B42B7D"/>
    <w:rsid w:val="00B42EB2"/>
    <w:rsid w:val="00B43913"/>
    <w:rsid w:val="00B43A15"/>
    <w:rsid w:val="00B450D0"/>
    <w:rsid w:val="00B45E3A"/>
    <w:rsid w:val="00B45E9D"/>
    <w:rsid w:val="00B46084"/>
    <w:rsid w:val="00B462F0"/>
    <w:rsid w:val="00B46B64"/>
    <w:rsid w:val="00B47749"/>
    <w:rsid w:val="00B47DE2"/>
    <w:rsid w:val="00B47E29"/>
    <w:rsid w:val="00B50BF1"/>
    <w:rsid w:val="00B510B2"/>
    <w:rsid w:val="00B51A51"/>
    <w:rsid w:val="00B52074"/>
    <w:rsid w:val="00B524F2"/>
    <w:rsid w:val="00B52503"/>
    <w:rsid w:val="00B525EB"/>
    <w:rsid w:val="00B528B6"/>
    <w:rsid w:val="00B529F5"/>
    <w:rsid w:val="00B52D60"/>
    <w:rsid w:val="00B52D91"/>
    <w:rsid w:val="00B53681"/>
    <w:rsid w:val="00B53816"/>
    <w:rsid w:val="00B53E81"/>
    <w:rsid w:val="00B53F66"/>
    <w:rsid w:val="00B5424D"/>
    <w:rsid w:val="00B5462A"/>
    <w:rsid w:val="00B5466D"/>
    <w:rsid w:val="00B547CF"/>
    <w:rsid w:val="00B54EAD"/>
    <w:rsid w:val="00B55BFF"/>
    <w:rsid w:val="00B55F2A"/>
    <w:rsid w:val="00B5719A"/>
    <w:rsid w:val="00B573E6"/>
    <w:rsid w:val="00B5778E"/>
    <w:rsid w:val="00B60B16"/>
    <w:rsid w:val="00B61A06"/>
    <w:rsid w:val="00B61D01"/>
    <w:rsid w:val="00B61EB6"/>
    <w:rsid w:val="00B62128"/>
    <w:rsid w:val="00B621E4"/>
    <w:rsid w:val="00B621EF"/>
    <w:rsid w:val="00B624C5"/>
    <w:rsid w:val="00B62CA5"/>
    <w:rsid w:val="00B63591"/>
    <w:rsid w:val="00B637D9"/>
    <w:rsid w:val="00B6381C"/>
    <w:rsid w:val="00B643AA"/>
    <w:rsid w:val="00B64727"/>
    <w:rsid w:val="00B6490C"/>
    <w:rsid w:val="00B6511C"/>
    <w:rsid w:val="00B6565C"/>
    <w:rsid w:val="00B65783"/>
    <w:rsid w:val="00B65CA2"/>
    <w:rsid w:val="00B6632F"/>
    <w:rsid w:val="00B66825"/>
    <w:rsid w:val="00B669AF"/>
    <w:rsid w:val="00B67191"/>
    <w:rsid w:val="00B67428"/>
    <w:rsid w:val="00B67832"/>
    <w:rsid w:val="00B70661"/>
    <w:rsid w:val="00B706F3"/>
    <w:rsid w:val="00B7087A"/>
    <w:rsid w:val="00B70991"/>
    <w:rsid w:val="00B709FD"/>
    <w:rsid w:val="00B7169E"/>
    <w:rsid w:val="00B71B72"/>
    <w:rsid w:val="00B730F4"/>
    <w:rsid w:val="00B73719"/>
    <w:rsid w:val="00B73E64"/>
    <w:rsid w:val="00B7423E"/>
    <w:rsid w:val="00B7427C"/>
    <w:rsid w:val="00B74AF7"/>
    <w:rsid w:val="00B75993"/>
    <w:rsid w:val="00B75CFA"/>
    <w:rsid w:val="00B76493"/>
    <w:rsid w:val="00B76840"/>
    <w:rsid w:val="00B76A0C"/>
    <w:rsid w:val="00B76DBC"/>
    <w:rsid w:val="00B778BE"/>
    <w:rsid w:val="00B80E84"/>
    <w:rsid w:val="00B810F9"/>
    <w:rsid w:val="00B8162A"/>
    <w:rsid w:val="00B81E7D"/>
    <w:rsid w:val="00B81F91"/>
    <w:rsid w:val="00B81FEA"/>
    <w:rsid w:val="00B83B55"/>
    <w:rsid w:val="00B83EAD"/>
    <w:rsid w:val="00B846FF"/>
    <w:rsid w:val="00B850D9"/>
    <w:rsid w:val="00B85984"/>
    <w:rsid w:val="00B85E34"/>
    <w:rsid w:val="00B8603B"/>
    <w:rsid w:val="00B86206"/>
    <w:rsid w:val="00B86550"/>
    <w:rsid w:val="00B865EB"/>
    <w:rsid w:val="00B869A8"/>
    <w:rsid w:val="00B86B65"/>
    <w:rsid w:val="00B87227"/>
    <w:rsid w:val="00B872A0"/>
    <w:rsid w:val="00B904A8"/>
    <w:rsid w:val="00B91712"/>
    <w:rsid w:val="00B9198B"/>
    <w:rsid w:val="00B92731"/>
    <w:rsid w:val="00B92918"/>
    <w:rsid w:val="00B92BF1"/>
    <w:rsid w:val="00B92CB5"/>
    <w:rsid w:val="00B93337"/>
    <w:rsid w:val="00B93C9F"/>
    <w:rsid w:val="00B93CF5"/>
    <w:rsid w:val="00B93D19"/>
    <w:rsid w:val="00B946E8"/>
    <w:rsid w:val="00B94FCE"/>
    <w:rsid w:val="00B950D3"/>
    <w:rsid w:val="00B95A84"/>
    <w:rsid w:val="00B969EC"/>
    <w:rsid w:val="00B96E42"/>
    <w:rsid w:val="00B9711A"/>
    <w:rsid w:val="00B9724A"/>
    <w:rsid w:val="00B97620"/>
    <w:rsid w:val="00B97DF4"/>
    <w:rsid w:val="00BA0915"/>
    <w:rsid w:val="00BA0948"/>
    <w:rsid w:val="00BA0A0B"/>
    <w:rsid w:val="00BA0E45"/>
    <w:rsid w:val="00BA1057"/>
    <w:rsid w:val="00BA1A3F"/>
    <w:rsid w:val="00BA1D38"/>
    <w:rsid w:val="00BA263E"/>
    <w:rsid w:val="00BA30D3"/>
    <w:rsid w:val="00BA3993"/>
    <w:rsid w:val="00BA3B12"/>
    <w:rsid w:val="00BA3C49"/>
    <w:rsid w:val="00BA6016"/>
    <w:rsid w:val="00BA63F4"/>
    <w:rsid w:val="00BA68F6"/>
    <w:rsid w:val="00BA705D"/>
    <w:rsid w:val="00BA7842"/>
    <w:rsid w:val="00BA7920"/>
    <w:rsid w:val="00BB04C1"/>
    <w:rsid w:val="00BB12FC"/>
    <w:rsid w:val="00BB43B0"/>
    <w:rsid w:val="00BB4653"/>
    <w:rsid w:val="00BB4B80"/>
    <w:rsid w:val="00BB5516"/>
    <w:rsid w:val="00BB5999"/>
    <w:rsid w:val="00BB5DF8"/>
    <w:rsid w:val="00BB6094"/>
    <w:rsid w:val="00BB71D7"/>
    <w:rsid w:val="00BB7B99"/>
    <w:rsid w:val="00BB7E3E"/>
    <w:rsid w:val="00BC0096"/>
    <w:rsid w:val="00BC08D3"/>
    <w:rsid w:val="00BC0914"/>
    <w:rsid w:val="00BC0D80"/>
    <w:rsid w:val="00BC15AA"/>
    <w:rsid w:val="00BC1825"/>
    <w:rsid w:val="00BC1A32"/>
    <w:rsid w:val="00BC1F69"/>
    <w:rsid w:val="00BC2453"/>
    <w:rsid w:val="00BC2D0C"/>
    <w:rsid w:val="00BC3A79"/>
    <w:rsid w:val="00BC415F"/>
    <w:rsid w:val="00BC47CB"/>
    <w:rsid w:val="00BC48A8"/>
    <w:rsid w:val="00BC4A49"/>
    <w:rsid w:val="00BC524B"/>
    <w:rsid w:val="00BC57AE"/>
    <w:rsid w:val="00BC57C4"/>
    <w:rsid w:val="00BC5934"/>
    <w:rsid w:val="00BC5AF9"/>
    <w:rsid w:val="00BC5E44"/>
    <w:rsid w:val="00BC5EF7"/>
    <w:rsid w:val="00BC6ADC"/>
    <w:rsid w:val="00BC6DEC"/>
    <w:rsid w:val="00BC6EFC"/>
    <w:rsid w:val="00BC7FD8"/>
    <w:rsid w:val="00BD075A"/>
    <w:rsid w:val="00BD0A21"/>
    <w:rsid w:val="00BD0EDB"/>
    <w:rsid w:val="00BD1445"/>
    <w:rsid w:val="00BD1622"/>
    <w:rsid w:val="00BD17D0"/>
    <w:rsid w:val="00BD188F"/>
    <w:rsid w:val="00BD1E28"/>
    <w:rsid w:val="00BD21DB"/>
    <w:rsid w:val="00BD2270"/>
    <w:rsid w:val="00BD26E0"/>
    <w:rsid w:val="00BD2B11"/>
    <w:rsid w:val="00BD34C0"/>
    <w:rsid w:val="00BD354F"/>
    <w:rsid w:val="00BD3E0C"/>
    <w:rsid w:val="00BD434A"/>
    <w:rsid w:val="00BD49F9"/>
    <w:rsid w:val="00BD61A0"/>
    <w:rsid w:val="00BD63DA"/>
    <w:rsid w:val="00BD66D9"/>
    <w:rsid w:val="00BD6ABF"/>
    <w:rsid w:val="00BD6B54"/>
    <w:rsid w:val="00BD7170"/>
    <w:rsid w:val="00BD7EC2"/>
    <w:rsid w:val="00BD7F36"/>
    <w:rsid w:val="00BE060B"/>
    <w:rsid w:val="00BE06F3"/>
    <w:rsid w:val="00BE0C04"/>
    <w:rsid w:val="00BE0CBF"/>
    <w:rsid w:val="00BE19B0"/>
    <w:rsid w:val="00BE1B40"/>
    <w:rsid w:val="00BE1C7F"/>
    <w:rsid w:val="00BE2451"/>
    <w:rsid w:val="00BE36E1"/>
    <w:rsid w:val="00BE3A79"/>
    <w:rsid w:val="00BE3CD9"/>
    <w:rsid w:val="00BE4079"/>
    <w:rsid w:val="00BE44F3"/>
    <w:rsid w:val="00BE4E95"/>
    <w:rsid w:val="00BE5189"/>
    <w:rsid w:val="00BE53A5"/>
    <w:rsid w:val="00BE5B27"/>
    <w:rsid w:val="00BE5D22"/>
    <w:rsid w:val="00BE62F3"/>
    <w:rsid w:val="00BE630C"/>
    <w:rsid w:val="00BE702F"/>
    <w:rsid w:val="00BE79A6"/>
    <w:rsid w:val="00BE7A97"/>
    <w:rsid w:val="00BF032A"/>
    <w:rsid w:val="00BF1633"/>
    <w:rsid w:val="00BF21B7"/>
    <w:rsid w:val="00BF246B"/>
    <w:rsid w:val="00BF2541"/>
    <w:rsid w:val="00BF2CC5"/>
    <w:rsid w:val="00BF2FBF"/>
    <w:rsid w:val="00BF38AC"/>
    <w:rsid w:val="00BF3D64"/>
    <w:rsid w:val="00BF46C0"/>
    <w:rsid w:val="00BF486D"/>
    <w:rsid w:val="00BF48C5"/>
    <w:rsid w:val="00BF653C"/>
    <w:rsid w:val="00BF73B9"/>
    <w:rsid w:val="00C00370"/>
    <w:rsid w:val="00C008B5"/>
    <w:rsid w:val="00C00AE0"/>
    <w:rsid w:val="00C00DA3"/>
    <w:rsid w:val="00C01682"/>
    <w:rsid w:val="00C019A6"/>
    <w:rsid w:val="00C03321"/>
    <w:rsid w:val="00C033BE"/>
    <w:rsid w:val="00C036B3"/>
    <w:rsid w:val="00C03759"/>
    <w:rsid w:val="00C03C17"/>
    <w:rsid w:val="00C03ECF"/>
    <w:rsid w:val="00C04999"/>
    <w:rsid w:val="00C04F87"/>
    <w:rsid w:val="00C05028"/>
    <w:rsid w:val="00C0631D"/>
    <w:rsid w:val="00C06D78"/>
    <w:rsid w:val="00C07024"/>
    <w:rsid w:val="00C070F9"/>
    <w:rsid w:val="00C07362"/>
    <w:rsid w:val="00C07901"/>
    <w:rsid w:val="00C07A37"/>
    <w:rsid w:val="00C07B86"/>
    <w:rsid w:val="00C102E1"/>
    <w:rsid w:val="00C1038F"/>
    <w:rsid w:val="00C10BD0"/>
    <w:rsid w:val="00C10D1E"/>
    <w:rsid w:val="00C1225E"/>
    <w:rsid w:val="00C12752"/>
    <w:rsid w:val="00C128C0"/>
    <w:rsid w:val="00C13134"/>
    <w:rsid w:val="00C139AB"/>
    <w:rsid w:val="00C1542D"/>
    <w:rsid w:val="00C155BB"/>
    <w:rsid w:val="00C15F11"/>
    <w:rsid w:val="00C1642C"/>
    <w:rsid w:val="00C16743"/>
    <w:rsid w:val="00C16F1C"/>
    <w:rsid w:val="00C203F4"/>
    <w:rsid w:val="00C208E1"/>
    <w:rsid w:val="00C20C8A"/>
    <w:rsid w:val="00C2104B"/>
    <w:rsid w:val="00C211B9"/>
    <w:rsid w:val="00C21772"/>
    <w:rsid w:val="00C21979"/>
    <w:rsid w:val="00C222EF"/>
    <w:rsid w:val="00C223BA"/>
    <w:rsid w:val="00C225BC"/>
    <w:rsid w:val="00C229F1"/>
    <w:rsid w:val="00C23287"/>
    <w:rsid w:val="00C23D61"/>
    <w:rsid w:val="00C2400E"/>
    <w:rsid w:val="00C24A42"/>
    <w:rsid w:val="00C24D52"/>
    <w:rsid w:val="00C24EF5"/>
    <w:rsid w:val="00C2657B"/>
    <w:rsid w:val="00C266A8"/>
    <w:rsid w:val="00C26A79"/>
    <w:rsid w:val="00C26DFB"/>
    <w:rsid w:val="00C26E91"/>
    <w:rsid w:val="00C26F8A"/>
    <w:rsid w:val="00C272D4"/>
    <w:rsid w:val="00C2737B"/>
    <w:rsid w:val="00C273AD"/>
    <w:rsid w:val="00C27780"/>
    <w:rsid w:val="00C3000D"/>
    <w:rsid w:val="00C30659"/>
    <w:rsid w:val="00C30783"/>
    <w:rsid w:val="00C313E1"/>
    <w:rsid w:val="00C318FC"/>
    <w:rsid w:val="00C31E81"/>
    <w:rsid w:val="00C320D8"/>
    <w:rsid w:val="00C3210E"/>
    <w:rsid w:val="00C32B63"/>
    <w:rsid w:val="00C32D74"/>
    <w:rsid w:val="00C3353E"/>
    <w:rsid w:val="00C34562"/>
    <w:rsid w:val="00C34AC2"/>
    <w:rsid w:val="00C3507C"/>
    <w:rsid w:val="00C35195"/>
    <w:rsid w:val="00C358AE"/>
    <w:rsid w:val="00C359A9"/>
    <w:rsid w:val="00C35E9D"/>
    <w:rsid w:val="00C36288"/>
    <w:rsid w:val="00C40589"/>
    <w:rsid w:val="00C409B4"/>
    <w:rsid w:val="00C40A8F"/>
    <w:rsid w:val="00C412FE"/>
    <w:rsid w:val="00C4144F"/>
    <w:rsid w:val="00C41733"/>
    <w:rsid w:val="00C41E3F"/>
    <w:rsid w:val="00C41FF8"/>
    <w:rsid w:val="00C4215A"/>
    <w:rsid w:val="00C4236C"/>
    <w:rsid w:val="00C431A4"/>
    <w:rsid w:val="00C44204"/>
    <w:rsid w:val="00C44A2D"/>
    <w:rsid w:val="00C45D55"/>
    <w:rsid w:val="00C46553"/>
    <w:rsid w:val="00C46AD4"/>
    <w:rsid w:val="00C470D3"/>
    <w:rsid w:val="00C4719A"/>
    <w:rsid w:val="00C47831"/>
    <w:rsid w:val="00C47909"/>
    <w:rsid w:val="00C50729"/>
    <w:rsid w:val="00C50B02"/>
    <w:rsid w:val="00C5290F"/>
    <w:rsid w:val="00C52CA6"/>
    <w:rsid w:val="00C52D9F"/>
    <w:rsid w:val="00C53A78"/>
    <w:rsid w:val="00C5549C"/>
    <w:rsid w:val="00C5597D"/>
    <w:rsid w:val="00C55BA4"/>
    <w:rsid w:val="00C55DC4"/>
    <w:rsid w:val="00C5674F"/>
    <w:rsid w:val="00C56996"/>
    <w:rsid w:val="00C57338"/>
    <w:rsid w:val="00C57958"/>
    <w:rsid w:val="00C605C4"/>
    <w:rsid w:val="00C60D22"/>
    <w:rsid w:val="00C6100D"/>
    <w:rsid w:val="00C613FA"/>
    <w:rsid w:val="00C61826"/>
    <w:rsid w:val="00C6225C"/>
    <w:rsid w:val="00C62286"/>
    <w:rsid w:val="00C62CB0"/>
    <w:rsid w:val="00C63188"/>
    <w:rsid w:val="00C63E9B"/>
    <w:rsid w:val="00C643D3"/>
    <w:rsid w:val="00C64DF1"/>
    <w:rsid w:val="00C656C4"/>
    <w:rsid w:val="00C65BA6"/>
    <w:rsid w:val="00C662EF"/>
    <w:rsid w:val="00C664B1"/>
    <w:rsid w:val="00C66F0E"/>
    <w:rsid w:val="00C673BD"/>
    <w:rsid w:val="00C67767"/>
    <w:rsid w:val="00C67B70"/>
    <w:rsid w:val="00C7042B"/>
    <w:rsid w:val="00C70705"/>
    <w:rsid w:val="00C70986"/>
    <w:rsid w:val="00C71936"/>
    <w:rsid w:val="00C71FFC"/>
    <w:rsid w:val="00C721BE"/>
    <w:rsid w:val="00C72CA3"/>
    <w:rsid w:val="00C72FAF"/>
    <w:rsid w:val="00C734D0"/>
    <w:rsid w:val="00C736FB"/>
    <w:rsid w:val="00C74330"/>
    <w:rsid w:val="00C74A06"/>
    <w:rsid w:val="00C74DAD"/>
    <w:rsid w:val="00C74ECF"/>
    <w:rsid w:val="00C7505E"/>
    <w:rsid w:val="00C75263"/>
    <w:rsid w:val="00C754F5"/>
    <w:rsid w:val="00C75AC6"/>
    <w:rsid w:val="00C768B4"/>
    <w:rsid w:val="00C7759F"/>
    <w:rsid w:val="00C77731"/>
    <w:rsid w:val="00C7797F"/>
    <w:rsid w:val="00C802A2"/>
    <w:rsid w:val="00C8061A"/>
    <w:rsid w:val="00C80A77"/>
    <w:rsid w:val="00C8139D"/>
    <w:rsid w:val="00C81824"/>
    <w:rsid w:val="00C82195"/>
    <w:rsid w:val="00C8233A"/>
    <w:rsid w:val="00C83EF4"/>
    <w:rsid w:val="00C8465B"/>
    <w:rsid w:val="00C8481A"/>
    <w:rsid w:val="00C84EDF"/>
    <w:rsid w:val="00C84F96"/>
    <w:rsid w:val="00C85B41"/>
    <w:rsid w:val="00C85CAD"/>
    <w:rsid w:val="00C85DDA"/>
    <w:rsid w:val="00C86031"/>
    <w:rsid w:val="00C87480"/>
    <w:rsid w:val="00C87733"/>
    <w:rsid w:val="00C877F6"/>
    <w:rsid w:val="00C900FB"/>
    <w:rsid w:val="00C9056C"/>
    <w:rsid w:val="00C90584"/>
    <w:rsid w:val="00C91646"/>
    <w:rsid w:val="00C93141"/>
    <w:rsid w:val="00C939AC"/>
    <w:rsid w:val="00C9436B"/>
    <w:rsid w:val="00C947DC"/>
    <w:rsid w:val="00C94BD7"/>
    <w:rsid w:val="00C95003"/>
    <w:rsid w:val="00C950B3"/>
    <w:rsid w:val="00C954E1"/>
    <w:rsid w:val="00C962CC"/>
    <w:rsid w:val="00C9646D"/>
    <w:rsid w:val="00C96690"/>
    <w:rsid w:val="00C97174"/>
    <w:rsid w:val="00C972EC"/>
    <w:rsid w:val="00C973DC"/>
    <w:rsid w:val="00C97CF9"/>
    <w:rsid w:val="00CA040C"/>
    <w:rsid w:val="00CA0700"/>
    <w:rsid w:val="00CA0B6E"/>
    <w:rsid w:val="00CA1757"/>
    <w:rsid w:val="00CA1B2A"/>
    <w:rsid w:val="00CA1E89"/>
    <w:rsid w:val="00CA206A"/>
    <w:rsid w:val="00CA339B"/>
    <w:rsid w:val="00CA37EF"/>
    <w:rsid w:val="00CA37F6"/>
    <w:rsid w:val="00CA46DF"/>
    <w:rsid w:val="00CA4766"/>
    <w:rsid w:val="00CA47D5"/>
    <w:rsid w:val="00CA49AF"/>
    <w:rsid w:val="00CA4BB1"/>
    <w:rsid w:val="00CA4F66"/>
    <w:rsid w:val="00CA5640"/>
    <w:rsid w:val="00CA58E7"/>
    <w:rsid w:val="00CA5F42"/>
    <w:rsid w:val="00CA6494"/>
    <w:rsid w:val="00CA6884"/>
    <w:rsid w:val="00CA722D"/>
    <w:rsid w:val="00CA76C8"/>
    <w:rsid w:val="00CA7BEA"/>
    <w:rsid w:val="00CA7EC6"/>
    <w:rsid w:val="00CA7FC5"/>
    <w:rsid w:val="00CB0105"/>
    <w:rsid w:val="00CB0922"/>
    <w:rsid w:val="00CB095A"/>
    <w:rsid w:val="00CB0CFB"/>
    <w:rsid w:val="00CB13BC"/>
    <w:rsid w:val="00CB1441"/>
    <w:rsid w:val="00CB15E7"/>
    <w:rsid w:val="00CB1626"/>
    <w:rsid w:val="00CB1694"/>
    <w:rsid w:val="00CB1958"/>
    <w:rsid w:val="00CB1ADF"/>
    <w:rsid w:val="00CB35B7"/>
    <w:rsid w:val="00CB3987"/>
    <w:rsid w:val="00CB3AD0"/>
    <w:rsid w:val="00CB41E6"/>
    <w:rsid w:val="00CB438D"/>
    <w:rsid w:val="00CB439E"/>
    <w:rsid w:val="00CB43A7"/>
    <w:rsid w:val="00CB5230"/>
    <w:rsid w:val="00CB6173"/>
    <w:rsid w:val="00CB638E"/>
    <w:rsid w:val="00CB66CF"/>
    <w:rsid w:val="00CB7010"/>
    <w:rsid w:val="00CB72A3"/>
    <w:rsid w:val="00CB7FB9"/>
    <w:rsid w:val="00CC0A52"/>
    <w:rsid w:val="00CC1299"/>
    <w:rsid w:val="00CC1C6D"/>
    <w:rsid w:val="00CC2F15"/>
    <w:rsid w:val="00CC34F1"/>
    <w:rsid w:val="00CC38D4"/>
    <w:rsid w:val="00CC39C3"/>
    <w:rsid w:val="00CC432D"/>
    <w:rsid w:val="00CC438A"/>
    <w:rsid w:val="00CC48CE"/>
    <w:rsid w:val="00CC4AE7"/>
    <w:rsid w:val="00CC4C7F"/>
    <w:rsid w:val="00CC4FC5"/>
    <w:rsid w:val="00CC5464"/>
    <w:rsid w:val="00CC5BA3"/>
    <w:rsid w:val="00CC5E31"/>
    <w:rsid w:val="00CC5F4C"/>
    <w:rsid w:val="00CC64A0"/>
    <w:rsid w:val="00CC688B"/>
    <w:rsid w:val="00CC6D0F"/>
    <w:rsid w:val="00CC6FF1"/>
    <w:rsid w:val="00CC7748"/>
    <w:rsid w:val="00CC7A08"/>
    <w:rsid w:val="00CC7B96"/>
    <w:rsid w:val="00CC7EFC"/>
    <w:rsid w:val="00CD030E"/>
    <w:rsid w:val="00CD0471"/>
    <w:rsid w:val="00CD0850"/>
    <w:rsid w:val="00CD16F2"/>
    <w:rsid w:val="00CD2C43"/>
    <w:rsid w:val="00CD2C71"/>
    <w:rsid w:val="00CD2CC7"/>
    <w:rsid w:val="00CD30D1"/>
    <w:rsid w:val="00CD31C4"/>
    <w:rsid w:val="00CD3370"/>
    <w:rsid w:val="00CD337A"/>
    <w:rsid w:val="00CD396A"/>
    <w:rsid w:val="00CD3E5F"/>
    <w:rsid w:val="00CD47FB"/>
    <w:rsid w:val="00CD48E0"/>
    <w:rsid w:val="00CD4BC5"/>
    <w:rsid w:val="00CD546D"/>
    <w:rsid w:val="00CD572D"/>
    <w:rsid w:val="00CD6049"/>
    <w:rsid w:val="00CD6482"/>
    <w:rsid w:val="00CD691D"/>
    <w:rsid w:val="00CE0112"/>
    <w:rsid w:val="00CE11FF"/>
    <w:rsid w:val="00CE17BF"/>
    <w:rsid w:val="00CE1ADC"/>
    <w:rsid w:val="00CE1FB0"/>
    <w:rsid w:val="00CE32FF"/>
    <w:rsid w:val="00CE33D4"/>
    <w:rsid w:val="00CE3686"/>
    <w:rsid w:val="00CE3C3A"/>
    <w:rsid w:val="00CE3EFA"/>
    <w:rsid w:val="00CE4404"/>
    <w:rsid w:val="00CE4977"/>
    <w:rsid w:val="00CE4E99"/>
    <w:rsid w:val="00CE60E7"/>
    <w:rsid w:val="00CE6338"/>
    <w:rsid w:val="00CE71E0"/>
    <w:rsid w:val="00CE73C6"/>
    <w:rsid w:val="00CE73F1"/>
    <w:rsid w:val="00CE7E56"/>
    <w:rsid w:val="00CE7F33"/>
    <w:rsid w:val="00CF01B8"/>
    <w:rsid w:val="00CF06DB"/>
    <w:rsid w:val="00CF0824"/>
    <w:rsid w:val="00CF1022"/>
    <w:rsid w:val="00CF1924"/>
    <w:rsid w:val="00CF1C15"/>
    <w:rsid w:val="00CF2EC6"/>
    <w:rsid w:val="00CF3214"/>
    <w:rsid w:val="00CF327E"/>
    <w:rsid w:val="00CF341B"/>
    <w:rsid w:val="00CF3682"/>
    <w:rsid w:val="00CF3A32"/>
    <w:rsid w:val="00CF50A7"/>
    <w:rsid w:val="00CF6498"/>
    <w:rsid w:val="00CF654D"/>
    <w:rsid w:val="00CF6E02"/>
    <w:rsid w:val="00CF6F3E"/>
    <w:rsid w:val="00CF7BA7"/>
    <w:rsid w:val="00D00BEC"/>
    <w:rsid w:val="00D0120C"/>
    <w:rsid w:val="00D01AC3"/>
    <w:rsid w:val="00D01BF0"/>
    <w:rsid w:val="00D022C7"/>
    <w:rsid w:val="00D025A6"/>
    <w:rsid w:val="00D027FD"/>
    <w:rsid w:val="00D036E8"/>
    <w:rsid w:val="00D039FD"/>
    <w:rsid w:val="00D0493F"/>
    <w:rsid w:val="00D0494E"/>
    <w:rsid w:val="00D04952"/>
    <w:rsid w:val="00D04C89"/>
    <w:rsid w:val="00D054E2"/>
    <w:rsid w:val="00D05CC2"/>
    <w:rsid w:val="00D05D4B"/>
    <w:rsid w:val="00D05DE4"/>
    <w:rsid w:val="00D06C9D"/>
    <w:rsid w:val="00D073FF"/>
    <w:rsid w:val="00D117E3"/>
    <w:rsid w:val="00D11AF7"/>
    <w:rsid w:val="00D121A3"/>
    <w:rsid w:val="00D12BBF"/>
    <w:rsid w:val="00D12D1A"/>
    <w:rsid w:val="00D12FFA"/>
    <w:rsid w:val="00D13D36"/>
    <w:rsid w:val="00D13EEB"/>
    <w:rsid w:val="00D14B69"/>
    <w:rsid w:val="00D14DF6"/>
    <w:rsid w:val="00D16088"/>
    <w:rsid w:val="00D16136"/>
    <w:rsid w:val="00D162FD"/>
    <w:rsid w:val="00D16A26"/>
    <w:rsid w:val="00D16FE0"/>
    <w:rsid w:val="00D17080"/>
    <w:rsid w:val="00D172D0"/>
    <w:rsid w:val="00D17A23"/>
    <w:rsid w:val="00D200C8"/>
    <w:rsid w:val="00D2045F"/>
    <w:rsid w:val="00D22A50"/>
    <w:rsid w:val="00D231BF"/>
    <w:rsid w:val="00D233DA"/>
    <w:rsid w:val="00D237BA"/>
    <w:rsid w:val="00D23969"/>
    <w:rsid w:val="00D23BA2"/>
    <w:rsid w:val="00D24B65"/>
    <w:rsid w:val="00D24B79"/>
    <w:rsid w:val="00D24DD6"/>
    <w:rsid w:val="00D252ED"/>
    <w:rsid w:val="00D25894"/>
    <w:rsid w:val="00D25EBC"/>
    <w:rsid w:val="00D25F0D"/>
    <w:rsid w:val="00D267F6"/>
    <w:rsid w:val="00D27C97"/>
    <w:rsid w:val="00D305B6"/>
    <w:rsid w:val="00D307A6"/>
    <w:rsid w:val="00D30A6E"/>
    <w:rsid w:val="00D31508"/>
    <w:rsid w:val="00D31FEB"/>
    <w:rsid w:val="00D32B3C"/>
    <w:rsid w:val="00D342A7"/>
    <w:rsid w:val="00D353A7"/>
    <w:rsid w:val="00D35D79"/>
    <w:rsid w:val="00D360B4"/>
    <w:rsid w:val="00D372C4"/>
    <w:rsid w:val="00D37E85"/>
    <w:rsid w:val="00D40350"/>
    <w:rsid w:val="00D40737"/>
    <w:rsid w:val="00D41329"/>
    <w:rsid w:val="00D41759"/>
    <w:rsid w:val="00D41C27"/>
    <w:rsid w:val="00D425A9"/>
    <w:rsid w:val="00D426FF"/>
    <w:rsid w:val="00D42F28"/>
    <w:rsid w:val="00D4355D"/>
    <w:rsid w:val="00D4394A"/>
    <w:rsid w:val="00D43EC7"/>
    <w:rsid w:val="00D4410E"/>
    <w:rsid w:val="00D44188"/>
    <w:rsid w:val="00D442CE"/>
    <w:rsid w:val="00D444F2"/>
    <w:rsid w:val="00D44A43"/>
    <w:rsid w:val="00D44F4C"/>
    <w:rsid w:val="00D451EE"/>
    <w:rsid w:val="00D458B3"/>
    <w:rsid w:val="00D46F55"/>
    <w:rsid w:val="00D47347"/>
    <w:rsid w:val="00D5172A"/>
    <w:rsid w:val="00D51AC0"/>
    <w:rsid w:val="00D51E70"/>
    <w:rsid w:val="00D52554"/>
    <w:rsid w:val="00D5309A"/>
    <w:rsid w:val="00D536DC"/>
    <w:rsid w:val="00D53D15"/>
    <w:rsid w:val="00D53EB9"/>
    <w:rsid w:val="00D5472F"/>
    <w:rsid w:val="00D54833"/>
    <w:rsid w:val="00D5483E"/>
    <w:rsid w:val="00D54D08"/>
    <w:rsid w:val="00D54ECB"/>
    <w:rsid w:val="00D55200"/>
    <w:rsid w:val="00D5531E"/>
    <w:rsid w:val="00D55825"/>
    <w:rsid w:val="00D55871"/>
    <w:rsid w:val="00D55EDB"/>
    <w:rsid w:val="00D56CBA"/>
    <w:rsid w:val="00D57547"/>
    <w:rsid w:val="00D5757A"/>
    <w:rsid w:val="00D5770F"/>
    <w:rsid w:val="00D57A15"/>
    <w:rsid w:val="00D57E3B"/>
    <w:rsid w:val="00D60389"/>
    <w:rsid w:val="00D60BB1"/>
    <w:rsid w:val="00D61D90"/>
    <w:rsid w:val="00D625E9"/>
    <w:rsid w:val="00D62719"/>
    <w:rsid w:val="00D62B64"/>
    <w:rsid w:val="00D62C8E"/>
    <w:rsid w:val="00D63D36"/>
    <w:rsid w:val="00D63D8E"/>
    <w:rsid w:val="00D63F58"/>
    <w:rsid w:val="00D6485A"/>
    <w:rsid w:val="00D64CEA"/>
    <w:rsid w:val="00D64DA8"/>
    <w:rsid w:val="00D64FAD"/>
    <w:rsid w:val="00D654C7"/>
    <w:rsid w:val="00D657E8"/>
    <w:rsid w:val="00D65E2C"/>
    <w:rsid w:val="00D663BD"/>
    <w:rsid w:val="00D666DA"/>
    <w:rsid w:val="00D66BAE"/>
    <w:rsid w:val="00D672EF"/>
    <w:rsid w:val="00D67805"/>
    <w:rsid w:val="00D67DA5"/>
    <w:rsid w:val="00D67F94"/>
    <w:rsid w:val="00D702A6"/>
    <w:rsid w:val="00D702CB"/>
    <w:rsid w:val="00D7181F"/>
    <w:rsid w:val="00D71AFE"/>
    <w:rsid w:val="00D725F5"/>
    <w:rsid w:val="00D728B5"/>
    <w:rsid w:val="00D72BA3"/>
    <w:rsid w:val="00D72C0D"/>
    <w:rsid w:val="00D72D19"/>
    <w:rsid w:val="00D73506"/>
    <w:rsid w:val="00D73885"/>
    <w:rsid w:val="00D73BE0"/>
    <w:rsid w:val="00D73E56"/>
    <w:rsid w:val="00D7519D"/>
    <w:rsid w:val="00D752AC"/>
    <w:rsid w:val="00D75757"/>
    <w:rsid w:val="00D761D8"/>
    <w:rsid w:val="00D765C0"/>
    <w:rsid w:val="00D76E31"/>
    <w:rsid w:val="00D76E5F"/>
    <w:rsid w:val="00D77263"/>
    <w:rsid w:val="00D7764B"/>
    <w:rsid w:val="00D77EC3"/>
    <w:rsid w:val="00D80231"/>
    <w:rsid w:val="00D8039D"/>
    <w:rsid w:val="00D80802"/>
    <w:rsid w:val="00D81026"/>
    <w:rsid w:val="00D8103A"/>
    <w:rsid w:val="00D812F5"/>
    <w:rsid w:val="00D81A0E"/>
    <w:rsid w:val="00D81E72"/>
    <w:rsid w:val="00D827D6"/>
    <w:rsid w:val="00D8298A"/>
    <w:rsid w:val="00D8383A"/>
    <w:rsid w:val="00D83A6E"/>
    <w:rsid w:val="00D83B42"/>
    <w:rsid w:val="00D83E4A"/>
    <w:rsid w:val="00D84318"/>
    <w:rsid w:val="00D8439E"/>
    <w:rsid w:val="00D843F9"/>
    <w:rsid w:val="00D847A9"/>
    <w:rsid w:val="00D8483E"/>
    <w:rsid w:val="00D851F4"/>
    <w:rsid w:val="00D85EF2"/>
    <w:rsid w:val="00D85FA9"/>
    <w:rsid w:val="00D866A4"/>
    <w:rsid w:val="00D86ED8"/>
    <w:rsid w:val="00D87624"/>
    <w:rsid w:val="00D87E09"/>
    <w:rsid w:val="00D902DC"/>
    <w:rsid w:val="00D906BF"/>
    <w:rsid w:val="00D9083B"/>
    <w:rsid w:val="00D914DE"/>
    <w:rsid w:val="00D915BF"/>
    <w:rsid w:val="00D91754"/>
    <w:rsid w:val="00D91B68"/>
    <w:rsid w:val="00D922E2"/>
    <w:rsid w:val="00D92954"/>
    <w:rsid w:val="00D929EB"/>
    <w:rsid w:val="00D92F3B"/>
    <w:rsid w:val="00D92F41"/>
    <w:rsid w:val="00D931FC"/>
    <w:rsid w:val="00D94062"/>
    <w:rsid w:val="00D958A9"/>
    <w:rsid w:val="00D95C43"/>
    <w:rsid w:val="00D96307"/>
    <w:rsid w:val="00D9664C"/>
    <w:rsid w:val="00D96AED"/>
    <w:rsid w:val="00D96C37"/>
    <w:rsid w:val="00D97302"/>
    <w:rsid w:val="00D97A93"/>
    <w:rsid w:val="00DA0728"/>
    <w:rsid w:val="00DA1276"/>
    <w:rsid w:val="00DA18B7"/>
    <w:rsid w:val="00DA1BE4"/>
    <w:rsid w:val="00DA2FA7"/>
    <w:rsid w:val="00DA32E5"/>
    <w:rsid w:val="00DA36A8"/>
    <w:rsid w:val="00DA3B09"/>
    <w:rsid w:val="00DA4453"/>
    <w:rsid w:val="00DA4860"/>
    <w:rsid w:val="00DA5B93"/>
    <w:rsid w:val="00DA6876"/>
    <w:rsid w:val="00DA68FC"/>
    <w:rsid w:val="00DA69FB"/>
    <w:rsid w:val="00DA6F89"/>
    <w:rsid w:val="00DA7719"/>
    <w:rsid w:val="00DA7995"/>
    <w:rsid w:val="00DB0167"/>
    <w:rsid w:val="00DB0DBF"/>
    <w:rsid w:val="00DB1188"/>
    <w:rsid w:val="00DB16A4"/>
    <w:rsid w:val="00DB1D61"/>
    <w:rsid w:val="00DB25D5"/>
    <w:rsid w:val="00DB26D8"/>
    <w:rsid w:val="00DB2837"/>
    <w:rsid w:val="00DB2BF6"/>
    <w:rsid w:val="00DB2D06"/>
    <w:rsid w:val="00DB3275"/>
    <w:rsid w:val="00DB356A"/>
    <w:rsid w:val="00DB37D3"/>
    <w:rsid w:val="00DB3973"/>
    <w:rsid w:val="00DB3E04"/>
    <w:rsid w:val="00DB3EC8"/>
    <w:rsid w:val="00DB3FE4"/>
    <w:rsid w:val="00DB3FFB"/>
    <w:rsid w:val="00DB4855"/>
    <w:rsid w:val="00DB4872"/>
    <w:rsid w:val="00DB55AC"/>
    <w:rsid w:val="00DB5612"/>
    <w:rsid w:val="00DB57E1"/>
    <w:rsid w:val="00DB57EB"/>
    <w:rsid w:val="00DB5C3B"/>
    <w:rsid w:val="00DB6140"/>
    <w:rsid w:val="00DB68A2"/>
    <w:rsid w:val="00DB6FF1"/>
    <w:rsid w:val="00DB7000"/>
    <w:rsid w:val="00DB722E"/>
    <w:rsid w:val="00DB79AA"/>
    <w:rsid w:val="00DB7CDF"/>
    <w:rsid w:val="00DC03F4"/>
    <w:rsid w:val="00DC0B5B"/>
    <w:rsid w:val="00DC0ED8"/>
    <w:rsid w:val="00DC110A"/>
    <w:rsid w:val="00DC233A"/>
    <w:rsid w:val="00DC2351"/>
    <w:rsid w:val="00DC2662"/>
    <w:rsid w:val="00DC296D"/>
    <w:rsid w:val="00DC3F79"/>
    <w:rsid w:val="00DC4250"/>
    <w:rsid w:val="00DC4DA0"/>
    <w:rsid w:val="00DC4DA7"/>
    <w:rsid w:val="00DC592B"/>
    <w:rsid w:val="00DC6107"/>
    <w:rsid w:val="00DC69D6"/>
    <w:rsid w:val="00DC77E2"/>
    <w:rsid w:val="00DD0135"/>
    <w:rsid w:val="00DD09DB"/>
    <w:rsid w:val="00DD1B15"/>
    <w:rsid w:val="00DD1E8E"/>
    <w:rsid w:val="00DD27B7"/>
    <w:rsid w:val="00DD29C0"/>
    <w:rsid w:val="00DD2C12"/>
    <w:rsid w:val="00DD33AE"/>
    <w:rsid w:val="00DD3411"/>
    <w:rsid w:val="00DD3696"/>
    <w:rsid w:val="00DD3844"/>
    <w:rsid w:val="00DD3B08"/>
    <w:rsid w:val="00DD4A6D"/>
    <w:rsid w:val="00DD5001"/>
    <w:rsid w:val="00DD5331"/>
    <w:rsid w:val="00DD5665"/>
    <w:rsid w:val="00DD5E73"/>
    <w:rsid w:val="00DD6121"/>
    <w:rsid w:val="00DD64E2"/>
    <w:rsid w:val="00DD6F9E"/>
    <w:rsid w:val="00DD7818"/>
    <w:rsid w:val="00DD7D45"/>
    <w:rsid w:val="00DD7F53"/>
    <w:rsid w:val="00DE0127"/>
    <w:rsid w:val="00DE0B62"/>
    <w:rsid w:val="00DE1311"/>
    <w:rsid w:val="00DE17E0"/>
    <w:rsid w:val="00DE199D"/>
    <w:rsid w:val="00DE2373"/>
    <w:rsid w:val="00DE25F6"/>
    <w:rsid w:val="00DE287A"/>
    <w:rsid w:val="00DE2C15"/>
    <w:rsid w:val="00DE2E6E"/>
    <w:rsid w:val="00DE3022"/>
    <w:rsid w:val="00DE35CA"/>
    <w:rsid w:val="00DE3A26"/>
    <w:rsid w:val="00DE40AB"/>
    <w:rsid w:val="00DE40D7"/>
    <w:rsid w:val="00DE4390"/>
    <w:rsid w:val="00DE44AC"/>
    <w:rsid w:val="00DE491A"/>
    <w:rsid w:val="00DE532B"/>
    <w:rsid w:val="00DE5510"/>
    <w:rsid w:val="00DE5603"/>
    <w:rsid w:val="00DE641B"/>
    <w:rsid w:val="00DE6AF2"/>
    <w:rsid w:val="00DE6BA4"/>
    <w:rsid w:val="00DE6C08"/>
    <w:rsid w:val="00DE76BA"/>
    <w:rsid w:val="00DE791F"/>
    <w:rsid w:val="00DE7A14"/>
    <w:rsid w:val="00DF032B"/>
    <w:rsid w:val="00DF06B0"/>
    <w:rsid w:val="00DF222E"/>
    <w:rsid w:val="00DF2412"/>
    <w:rsid w:val="00DF2432"/>
    <w:rsid w:val="00DF284F"/>
    <w:rsid w:val="00DF2999"/>
    <w:rsid w:val="00DF2E87"/>
    <w:rsid w:val="00DF2F86"/>
    <w:rsid w:val="00DF33E0"/>
    <w:rsid w:val="00DF35EC"/>
    <w:rsid w:val="00DF3BCA"/>
    <w:rsid w:val="00DF4457"/>
    <w:rsid w:val="00DF4539"/>
    <w:rsid w:val="00DF4589"/>
    <w:rsid w:val="00DF4E1E"/>
    <w:rsid w:val="00DF5972"/>
    <w:rsid w:val="00DF5F14"/>
    <w:rsid w:val="00DF657A"/>
    <w:rsid w:val="00DF6B1F"/>
    <w:rsid w:val="00DF761A"/>
    <w:rsid w:val="00DF76C1"/>
    <w:rsid w:val="00DF77C8"/>
    <w:rsid w:val="00E0043F"/>
    <w:rsid w:val="00E01CB6"/>
    <w:rsid w:val="00E01D02"/>
    <w:rsid w:val="00E01FCC"/>
    <w:rsid w:val="00E022EF"/>
    <w:rsid w:val="00E02773"/>
    <w:rsid w:val="00E02E6D"/>
    <w:rsid w:val="00E034E3"/>
    <w:rsid w:val="00E03532"/>
    <w:rsid w:val="00E0370C"/>
    <w:rsid w:val="00E037BD"/>
    <w:rsid w:val="00E045F7"/>
    <w:rsid w:val="00E05999"/>
    <w:rsid w:val="00E060E3"/>
    <w:rsid w:val="00E067C1"/>
    <w:rsid w:val="00E06904"/>
    <w:rsid w:val="00E06D63"/>
    <w:rsid w:val="00E06FBA"/>
    <w:rsid w:val="00E071AA"/>
    <w:rsid w:val="00E07EA6"/>
    <w:rsid w:val="00E1010A"/>
    <w:rsid w:val="00E10285"/>
    <w:rsid w:val="00E10F17"/>
    <w:rsid w:val="00E11F68"/>
    <w:rsid w:val="00E12CAB"/>
    <w:rsid w:val="00E12D66"/>
    <w:rsid w:val="00E12F38"/>
    <w:rsid w:val="00E135AC"/>
    <w:rsid w:val="00E13675"/>
    <w:rsid w:val="00E136D4"/>
    <w:rsid w:val="00E1397B"/>
    <w:rsid w:val="00E13CFB"/>
    <w:rsid w:val="00E13FD7"/>
    <w:rsid w:val="00E140E1"/>
    <w:rsid w:val="00E1446D"/>
    <w:rsid w:val="00E149FF"/>
    <w:rsid w:val="00E15622"/>
    <w:rsid w:val="00E15782"/>
    <w:rsid w:val="00E16F2B"/>
    <w:rsid w:val="00E17912"/>
    <w:rsid w:val="00E2041D"/>
    <w:rsid w:val="00E2120A"/>
    <w:rsid w:val="00E214D6"/>
    <w:rsid w:val="00E2165B"/>
    <w:rsid w:val="00E218C0"/>
    <w:rsid w:val="00E21911"/>
    <w:rsid w:val="00E226F5"/>
    <w:rsid w:val="00E22ADC"/>
    <w:rsid w:val="00E22CB9"/>
    <w:rsid w:val="00E232D1"/>
    <w:rsid w:val="00E234F5"/>
    <w:rsid w:val="00E2352C"/>
    <w:rsid w:val="00E2399D"/>
    <w:rsid w:val="00E239DE"/>
    <w:rsid w:val="00E23AC4"/>
    <w:rsid w:val="00E23E72"/>
    <w:rsid w:val="00E23EF9"/>
    <w:rsid w:val="00E2425A"/>
    <w:rsid w:val="00E24812"/>
    <w:rsid w:val="00E26A97"/>
    <w:rsid w:val="00E26CDB"/>
    <w:rsid w:val="00E2766E"/>
    <w:rsid w:val="00E278C5"/>
    <w:rsid w:val="00E300F2"/>
    <w:rsid w:val="00E30E76"/>
    <w:rsid w:val="00E30F98"/>
    <w:rsid w:val="00E31AFC"/>
    <w:rsid w:val="00E31DDE"/>
    <w:rsid w:val="00E32B88"/>
    <w:rsid w:val="00E32F9C"/>
    <w:rsid w:val="00E33178"/>
    <w:rsid w:val="00E33577"/>
    <w:rsid w:val="00E337EB"/>
    <w:rsid w:val="00E33FC0"/>
    <w:rsid w:val="00E34522"/>
    <w:rsid w:val="00E34A04"/>
    <w:rsid w:val="00E3505A"/>
    <w:rsid w:val="00E35225"/>
    <w:rsid w:val="00E352FB"/>
    <w:rsid w:val="00E36CE2"/>
    <w:rsid w:val="00E36FF0"/>
    <w:rsid w:val="00E370BC"/>
    <w:rsid w:val="00E37956"/>
    <w:rsid w:val="00E401F7"/>
    <w:rsid w:val="00E406F5"/>
    <w:rsid w:val="00E40AF6"/>
    <w:rsid w:val="00E40B85"/>
    <w:rsid w:val="00E40E63"/>
    <w:rsid w:val="00E416DB"/>
    <w:rsid w:val="00E4309F"/>
    <w:rsid w:val="00E432C3"/>
    <w:rsid w:val="00E43908"/>
    <w:rsid w:val="00E44D6D"/>
    <w:rsid w:val="00E457AC"/>
    <w:rsid w:val="00E46074"/>
    <w:rsid w:val="00E466EB"/>
    <w:rsid w:val="00E469A3"/>
    <w:rsid w:val="00E46A71"/>
    <w:rsid w:val="00E46D3C"/>
    <w:rsid w:val="00E47134"/>
    <w:rsid w:val="00E47363"/>
    <w:rsid w:val="00E47634"/>
    <w:rsid w:val="00E4770E"/>
    <w:rsid w:val="00E50706"/>
    <w:rsid w:val="00E5148F"/>
    <w:rsid w:val="00E51E64"/>
    <w:rsid w:val="00E530D4"/>
    <w:rsid w:val="00E53506"/>
    <w:rsid w:val="00E53878"/>
    <w:rsid w:val="00E53F04"/>
    <w:rsid w:val="00E5425D"/>
    <w:rsid w:val="00E54C88"/>
    <w:rsid w:val="00E54E54"/>
    <w:rsid w:val="00E5572F"/>
    <w:rsid w:val="00E55CD4"/>
    <w:rsid w:val="00E56014"/>
    <w:rsid w:val="00E560B5"/>
    <w:rsid w:val="00E567C6"/>
    <w:rsid w:val="00E56DFC"/>
    <w:rsid w:val="00E60B1A"/>
    <w:rsid w:val="00E61291"/>
    <w:rsid w:val="00E622BF"/>
    <w:rsid w:val="00E62ED7"/>
    <w:rsid w:val="00E632E6"/>
    <w:rsid w:val="00E6355F"/>
    <w:rsid w:val="00E640D0"/>
    <w:rsid w:val="00E64202"/>
    <w:rsid w:val="00E64768"/>
    <w:rsid w:val="00E649E8"/>
    <w:rsid w:val="00E65659"/>
    <w:rsid w:val="00E65AE7"/>
    <w:rsid w:val="00E66084"/>
    <w:rsid w:val="00E664A1"/>
    <w:rsid w:val="00E66C87"/>
    <w:rsid w:val="00E67037"/>
    <w:rsid w:val="00E67454"/>
    <w:rsid w:val="00E6767D"/>
    <w:rsid w:val="00E678C0"/>
    <w:rsid w:val="00E70C37"/>
    <w:rsid w:val="00E721BB"/>
    <w:rsid w:val="00E72C39"/>
    <w:rsid w:val="00E73493"/>
    <w:rsid w:val="00E7432C"/>
    <w:rsid w:val="00E74736"/>
    <w:rsid w:val="00E74851"/>
    <w:rsid w:val="00E74F0A"/>
    <w:rsid w:val="00E75A6C"/>
    <w:rsid w:val="00E7673B"/>
    <w:rsid w:val="00E76856"/>
    <w:rsid w:val="00E77081"/>
    <w:rsid w:val="00E803B7"/>
    <w:rsid w:val="00E80840"/>
    <w:rsid w:val="00E813AD"/>
    <w:rsid w:val="00E823AF"/>
    <w:rsid w:val="00E831E6"/>
    <w:rsid w:val="00E83CDD"/>
    <w:rsid w:val="00E842B0"/>
    <w:rsid w:val="00E847A0"/>
    <w:rsid w:val="00E84A73"/>
    <w:rsid w:val="00E84CBA"/>
    <w:rsid w:val="00E8512F"/>
    <w:rsid w:val="00E85231"/>
    <w:rsid w:val="00E853AA"/>
    <w:rsid w:val="00E8621E"/>
    <w:rsid w:val="00E87995"/>
    <w:rsid w:val="00E90E4D"/>
    <w:rsid w:val="00E91D67"/>
    <w:rsid w:val="00E922A3"/>
    <w:rsid w:val="00E92382"/>
    <w:rsid w:val="00E9287F"/>
    <w:rsid w:val="00E92AE4"/>
    <w:rsid w:val="00E932AF"/>
    <w:rsid w:val="00E93C2B"/>
    <w:rsid w:val="00E93FD2"/>
    <w:rsid w:val="00E94099"/>
    <w:rsid w:val="00E947E0"/>
    <w:rsid w:val="00E94A79"/>
    <w:rsid w:val="00E94DB6"/>
    <w:rsid w:val="00E95EB4"/>
    <w:rsid w:val="00E95EF9"/>
    <w:rsid w:val="00E9616D"/>
    <w:rsid w:val="00E962A7"/>
    <w:rsid w:val="00E9681F"/>
    <w:rsid w:val="00E9711F"/>
    <w:rsid w:val="00E97276"/>
    <w:rsid w:val="00E974B4"/>
    <w:rsid w:val="00E97DC1"/>
    <w:rsid w:val="00EA031D"/>
    <w:rsid w:val="00EA0F1B"/>
    <w:rsid w:val="00EA12DC"/>
    <w:rsid w:val="00EA13EF"/>
    <w:rsid w:val="00EA1B86"/>
    <w:rsid w:val="00EA2864"/>
    <w:rsid w:val="00EA2ABA"/>
    <w:rsid w:val="00EA38CB"/>
    <w:rsid w:val="00EA4997"/>
    <w:rsid w:val="00EA4A4E"/>
    <w:rsid w:val="00EA4C1B"/>
    <w:rsid w:val="00EA4CE2"/>
    <w:rsid w:val="00EA61D3"/>
    <w:rsid w:val="00EA669A"/>
    <w:rsid w:val="00EA6CBA"/>
    <w:rsid w:val="00EA7039"/>
    <w:rsid w:val="00EA7547"/>
    <w:rsid w:val="00EA75F2"/>
    <w:rsid w:val="00EB06C1"/>
    <w:rsid w:val="00EB0B18"/>
    <w:rsid w:val="00EB11B2"/>
    <w:rsid w:val="00EB1D78"/>
    <w:rsid w:val="00EB20EA"/>
    <w:rsid w:val="00EB21A8"/>
    <w:rsid w:val="00EB2CD1"/>
    <w:rsid w:val="00EB311E"/>
    <w:rsid w:val="00EB32E0"/>
    <w:rsid w:val="00EB36DC"/>
    <w:rsid w:val="00EB3928"/>
    <w:rsid w:val="00EB3B55"/>
    <w:rsid w:val="00EB4055"/>
    <w:rsid w:val="00EB5C69"/>
    <w:rsid w:val="00EB6935"/>
    <w:rsid w:val="00EB7D4F"/>
    <w:rsid w:val="00EC00C7"/>
    <w:rsid w:val="00EC019C"/>
    <w:rsid w:val="00EC01F2"/>
    <w:rsid w:val="00EC0291"/>
    <w:rsid w:val="00EC0E06"/>
    <w:rsid w:val="00EC1985"/>
    <w:rsid w:val="00EC2C3D"/>
    <w:rsid w:val="00EC2D07"/>
    <w:rsid w:val="00EC2D1B"/>
    <w:rsid w:val="00EC3775"/>
    <w:rsid w:val="00EC404E"/>
    <w:rsid w:val="00EC51B5"/>
    <w:rsid w:val="00EC51FD"/>
    <w:rsid w:val="00EC54E0"/>
    <w:rsid w:val="00EC590D"/>
    <w:rsid w:val="00EC5F78"/>
    <w:rsid w:val="00EC6055"/>
    <w:rsid w:val="00EC64B3"/>
    <w:rsid w:val="00EC6E9E"/>
    <w:rsid w:val="00EC6F0E"/>
    <w:rsid w:val="00EC70DE"/>
    <w:rsid w:val="00ED022E"/>
    <w:rsid w:val="00ED072F"/>
    <w:rsid w:val="00ED099D"/>
    <w:rsid w:val="00ED0A70"/>
    <w:rsid w:val="00ED0EE7"/>
    <w:rsid w:val="00ED1136"/>
    <w:rsid w:val="00ED1774"/>
    <w:rsid w:val="00ED17D0"/>
    <w:rsid w:val="00ED20CB"/>
    <w:rsid w:val="00ED2156"/>
    <w:rsid w:val="00ED2D6E"/>
    <w:rsid w:val="00ED302C"/>
    <w:rsid w:val="00ED348C"/>
    <w:rsid w:val="00ED36AD"/>
    <w:rsid w:val="00ED401D"/>
    <w:rsid w:val="00ED4691"/>
    <w:rsid w:val="00ED49D6"/>
    <w:rsid w:val="00ED5147"/>
    <w:rsid w:val="00ED51F9"/>
    <w:rsid w:val="00ED6884"/>
    <w:rsid w:val="00ED6D22"/>
    <w:rsid w:val="00ED6ECA"/>
    <w:rsid w:val="00ED7FBF"/>
    <w:rsid w:val="00EE0F04"/>
    <w:rsid w:val="00EE187A"/>
    <w:rsid w:val="00EE237A"/>
    <w:rsid w:val="00EE28D6"/>
    <w:rsid w:val="00EE42D7"/>
    <w:rsid w:val="00EE47E7"/>
    <w:rsid w:val="00EE4E8F"/>
    <w:rsid w:val="00EE5145"/>
    <w:rsid w:val="00EE5256"/>
    <w:rsid w:val="00EE548A"/>
    <w:rsid w:val="00EE5C91"/>
    <w:rsid w:val="00EE5F44"/>
    <w:rsid w:val="00EE6047"/>
    <w:rsid w:val="00EE6159"/>
    <w:rsid w:val="00EE646C"/>
    <w:rsid w:val="00EE65B4"/>
    <w:rsid w:val="00EE6D0F"/>
    <w:rsid w:val="00EE6DE3"/>
    <w:rsid w:val="00EE709F"/>
    <w:rsid w:val="00EE798B"/>
    <w:rsid w:val="00EE7A57"/>
    <w:rsid w:val="00EE7CBA"/>
    <w:rsid w:val="00EF081C"/>
    <w:rsid w:val="00EF0F3E"/>
    <w:rsid w:val="00EF136F"/>
    <w:rsid w:val="00EF1781"/>
    <w:rsid w:val="00EF19C0"/>
    <w:rsid w:val="00EF1EF8"/>
    <w:rsid w:val="00EF1F94"/>
    <w:rsid w:val="00EF2998"/>
    <w:rsid w:val="00EF2CF9"/>
    <w:rsid w:val="00EF2DFA"/>
    <w:rsid w:val="00EF44F4"/>
    <w:rsid w:val="00EF4D6B"/>
    <w:rsid w:val="00EF4D95"/>
    <w:rsid w:val="00EF5473"/>
    <w:rsid w:val="00EF5D7F"/>
    <w:rsid w:val="00EF66D0"/>
    <w:rsid w:val="00EF68FC"/>
    <w:rsid w:val="00EF71AD"/>
    <w:rsid w:val="00EF7FA7"/>
    <w:rsid w:val="00F0024D"/>
    <w:rsid w:val="00F005F2"/>
    <w:rsid w:val="00F00EFA"/>
    <w:rsid w:val="00F015F7"/>
    <w:rsid w:val="00F02949"/>
    <w:rsid w:val="00F02A5D"/>
    <w:rsid w:val="00F03472"/>
    <w:rsid w:val="00F038D8"/>
    <w:rsid w:val="00F03DC7"/>
    <w:rsid w:val="00F03F48"/>
    <w:rsid w:val="00F045EE"/>
    <w:rsid w:val="00F04E08"/>
    <w:rsid w:val="00F05702"/>
    <w:rsid w:val="00F07F5F"/>
    <w:rsid w:val="00F101CA"/>
    <w:rsid w:val="00F107CF"/>
    <w:rsid w:val="00F11344"/>
    <w:rsid w:val="00F1175D"/>
    <w:rsid w:val="00F11B42"/>
    <w:rsid w:val="00F121A5"/>
    <w:rsid w:val="00F12239"/>
    <w:rsid w:val="00F12904"/>
    <w:rsid w:val="00F129E7"/>
    <w:rsid w:val="00F12B7C"/>
    <w:rsid w:val="00F1385B"/>
    <w:rsid w:val="00F142A4"/>
    <w:rsid w:val="00F144AA"/>
    <w:rsid w:val="00F16826"/>
    <w:rsid w:val="00F16CFA"/>
    <w:rsid w:val="00F16DE8"/>
    <w:rsid w:val="00F174C8"/>
    <w:rsid w:val="00F17696"/>
    <w:rsid w:val="00F176B8"/>
    <w:rsid w:val="00F17BA1"/>
    <w:rsid w:val="00F20382"/>
    <w:rsid w:val="00F20F3B"/>
    <w:rsid w:val="00F2129D"/>
    <w:rsid w:val="00F212F5"/>
    <w:rsid w:val="00F21470"/>
    <w:rsid w:val="00F21E46"/>
    <w:rsid w:val="00F2201D"/>
    <w:rsid w:val="00F22130"/>
    <w:rsid w:val="00F23095"/>
    <w:rsid w:val="00F2343B"/>
    <w:rsid w:val="00F238C4"/>
    <w:rsid w:val="00F2392A"/>
    <w:rsid w:val="00F23ADD"/>
    <w:rsid w:val="00F2416F"/>
    <w:rsid w:val="00F25247"/>
    <w:rsid w:val="00F25257"/>
    <w:rsid w:val="00F261C3"/>
    <w:rsid w:val="00F26BE9"/>
    <w:rsid w:val="00F2707B"/>
    <w:rsid w:val="00F2740E"/>
    <w:rsid w:val="00F2758A"/>
    <w:rsid w:val="00F27674"/>
    <w:rsid w:val="00F27701"/>
    <w:rsid w:val="00F27750"/>
    <w:rsid w:val="00F27881"/>
    <w:rsid w:val="00F3073C"/>
    <w:rsid w:val="00F3097A"/>
    <w:rsid w:val="00F30BC4"/>
    <w:rsid w:val="00F31256"/>
    <w:rsid w:val="00F32178"/>
    <w:rsid w:val="00F32455"/>
    <w:rsid w:val="00F331DD"/>
    <w:rsid w:val="00F33265"/>
    <w:rsid w:val="00F34861"/>
    <w:rsid w:val="00F34F7F"/>
    <w:rsid w:val="00F35303"/>
    <w:rsid w:val="00F35530"/>
    <w:rsid w:val="00F35669"/>
    <w:rsid w:val="00F36B38"/>
    <w:rsid w:val="00F36CAC"/>
    <w:rsid w:val="00F36D9A"/>
    <w:rsid w:val="00F37099"/>
    <w:rsid w:val="00F374D0"/>
    <w:rsid w:val="00F37890"/>
    <w:rsid w:val="00F404E2"/>
    <w:rsid w:val="00F40AB2"/>
    <w:rsid w:val="00F40CEB"/>
    <w:rsid w:val="00F411B2"/>
    <w:rsid w:val="00F414AE"/>
    <w:rsid w:val="00F41FB2"/>
    <w:rsid w:val="00F42064"/>
    <w:rsid w:val="00F42EFB"/>
    <w:rsid w:val="00F4359A"/>
    <w:rsid w:val="00F4379E"/>
    <w:rsid w:val="00F43C06"/>
    <w:rsid w:val="00F43F99"/>
    <w:rsid w:val="00F4479D"/>
    <w:rsid w:val="00F44D08"/>
    <w:rsid w:val="00F45778"/>
    <w:rsid w:val="00F462C4"/>
    <w:rsid w:val="00F46716"/>
    <w:rsid w:val="00F46A1E"/>
    <w:rsid w:val="00F4756F"/>
    <w:rsid w:val="00F476DB"/>
    <w:rsid w:val="00F47A9D"/>
    <w:rsid w:val="00F47AAD"/>
    <w:rsid w:val="00F47CA8"/>
    <w:rsid w:val="00F500EE"/>
    <w:rsid w:val="00F5158F"/>
    <w:rsid w:val="00F51735"/>
    <w:rsid w:val="00F51AD4"/>
    <w:rsid w:val="00F51BF4"/>
    <w:rsid w:val="00F52B4A"/>
    <w:rsid w:val="00F534AB"/>
    <w:rsid w:val="00F53C14"/>
    <w:rsid w:val="00F53DFF"/>
    <w:rsid w:val="00F541E4"/>
    <w:rsid w:val="00F54C34"/>
    <w:rsid w:val="00F551D4"/>
    <w:rsid w:val="00F56057"/>
    <w:rsid w:val="00F57623"/>
    <w:rsid w:val="00F5797A"/>
    <w:rsid w:val="00F600C3"/>
    <w:rsid w:val="00F60BF5"/>
    <w:rsid w:val="00F61416"/>
    <w:rsid w:val="00F615CA"/>
    <w:rsid w:val="00F61A6C"/>
    <w:rsid w:val="00F63205"/>
    <w:rsid w:val="00F64D1F"/>
    <w:rsid w:val="00F64E4C"/>
    <w:rsid w:val="00F65CCC"/>
    <w:rsid w:val="00F65EDB"/>
    <w:rsid w:val="00F65FD0"/>
    <w:rsid w:val="00F66029"/>
    <w:rsid w:val="00F66085"/>
    <w:rsid w:val="00F66656"/>
    <w:rsid w:val="00F66747"/>
    <w:rsid w:val="00F66E50"/>
    <w:rsid w:val="00F671B6"/>
    <w:rsid w:val="00F674E9"/>
    <w:rsid w:val="00F67B51"/>
    <w:rsid w:val="00F67DD0"/>
    <w:rsid w:val="00F700BC"/>
    <w:rsid w:val="00F70774"/>
    <w:rsid w:val="00F70C9A"/>
    <w:rsid w:val="00F70CC8"/>
    <w:rsid w:val="00F711E8"/>
    <w:rsid w:val="00F715F0"/>
    <w:rsid w:val="00F7161A"/>
    <w:rsid w:val="00F71BF2"/>
    <w:rsid w:val="00F71D18"/>
    <w:rsid w:val="00F7246B"/>
    <w:rsid w:val="00F727EB"/>
    <w:rsid w:val="00F72B7A"/>
    <w:rsid w:val="00F73A3A"/>
    <w:rsid w:val="00F73E05"/>
    <w:rsid w:val="00F74A0D"/>
    <w:rsid w:val="00F74A8B"/>
    <w:rsid w:val="00F7564F"/>
    <w:rsid w:val="00F75EA2"/>
    <w:rsid w:val="00F75F53"/>
    <w:rsid w:val="00F776F4"/>
    <w:rsid w:val="00F776FF"/>
    <w:rsid w:val="00F777AD"/>
    <w:rsid w:val="00F80265"/>
    <w:rsid w:val="00F80352"/>
    <w:rsid w:val="00F80535"/>
    <w:rsid w:val="00F8075D"/>
    <w:rsid w:val="00F80A0A"/>
    <w:rsid w:val="00F80BA4"/>
    <w:rsid w:val="00F81EF8"/>
    <w:rsid w:val="00F82922"/>
    <w:rsid w:val="00F84040"/>
    <w:rsid w:val="00F84D5A"/>
    <w:rsid w:val="00F8532B"/>
    <w:rsid w:val="00F853CE"/>
    <w:rsid w:val="00F861DC"/>
    <w:rsid w:val="00F86327"/>
    <w:rsid w:val="00F86C76"/>
    <w:rsid w:val="00F876CA"/>
    <w:rsid w:val="00F900F2"/>
    <w:rsid w:val="00F9105C"/>
    <w:rsid w:val="00F91136"/>
    <w:rsid w:val="00F9117E"/>
    <w:rsid w:val="00F912B3"/>
    <w:rsid w:val="00F915F8"/>
    <w:rsid w:val="00F92BC3"/>
    <w:rsid w:val="00F93AD1"/>
    <w:rsid w:val="00F93C2E"/>
    <w:rsid w:val="00F93FB3"/>
    <w:rsid w:val="00F93FEA"/>
    <w:rsid w:val="00F94425"/>
    <w:rsid w:val="00F944BD"/>
    <w:rsid w:val="00F94738"/>
    <w:rsid w:val="00F95A18"/>
    <w:rsid w:val="00F95F7E"/>
    <w:rsid w:val="00F963A1"/>
    <w:rsid w:val="00F9693F"/>
    <w:rsid w:val="00F96BE7"/>
    <w:rsid w:val="00F96CAE"/>
    <w:rsid w:val="00F97240"/>
    <w:rsid w:val="00F97CDE"/>
    <w:rsid w:val="00F97EBC"/>
    <w:rsid w:val="00FA0405"/>
    <w:rsid w:val="00FA0957"/>
    <w:rsid w:val="00FA1D4F"/>
    <w:rsid w:val="00FA1E23"/>
    <w:rsid w:val="00FA2CAE"/>
    <w:rsid w:val="00FA2E9F"/>
    <w:rsid w:val="00FA31FA"/>
    <w:rsid w:val="00FA4D8E"/>
    <w:rsid w:val="00FA4E6D"/>
    <w:rsid w:val="00FA53B1"/>
    <w:rsid w:val="00FA54E9"/>
    <w:rsid w:val="00FA5B79"/>
    <w:rsid w:val="00FA67D5"/>
    <w:rsid w:val="00FA6CFC"/>
    <w:rsid w:val="00FA7696"/>
    <w:rsid w:val="00FA7ECF"/>
    <w:rsid w:val="00FB0929"/>
    <w:rsid w:val="00FB0B9C"/>
    <w:rsid w:val="00FB163F"/>
    <w:rsid w:val="00FB278F"/>
    <w:rsid w:val="00FB27DB"/>
    <w:rsid w:val="00FB2D5D"/>
    <w:rsid w:val="00FB2EF9"/>
    <w:rsid w:val="00FB3183"/>
    <w:rsid w:val="00FB4276"/>
    <w:rsid w:val="00FB4497"/>
    <w:rsid w:val="00FB50E7"/>
    <w:rsid w:val="00FB552C"/>
    <w:rsid w:val="00FB5531"/>
    <w:rsid w:val="00FB560B"/>
    <w:rsid w:val="00FB5BBA"/>
    <w:rsid w:val="00FB5C2A"/>
    <w:rsid w:val="00FB660B"/>
    <w:rsid w:val="00FB6BB6"/>
    <w:rsid w:val="00FB7067"/>
    <w:rsid w:val="00FB79BB"/>
    <w:rsid w:val="00FB79D8"/>
    <w:rsid w:val="00FC045F"/>
    <w:rsid w:val="00FC090C"/>
    <w:rsid w:val="00FC0E83"/>
    <w:rsid w:val="00FC11A7"/>
    <w:rsid w:val="00FC1C2F"/>
    <w:rsid w:val="00FC1F59"/>
    <w:rsid w:val="00FC223A"/>
    <w:rsid w:val="00FC2877"/>
    <w:rsid w:val="00FC2A24"/>
    <w:rsid w:val="00FC2D73"/>
    <w:rsid w:val="00FC48C9"/>
    <w:rsid w:val="00FC4FBA"/>
    <w:rsid w:val="00FC51A1"/>
    <w:rsid w:val="00FC52F4"/>
    <w:rsid w:val="00FC59B4"/>
    <w:rsid w:val="00FC6D40"/>
    <w:rsid w:val="00FC73EC"/>
    <w:rsid w:val="00FC7982"/>
    <w:rsid w:val="00FC7AA0"/>
    <w:rsid w:val="00FD00C2"/>
    <w:rsid w:val="00FD0AA7"/>
    <w:rsid w:val="00FD18A8"/>
    <w:rsid w:val="00FD1E48"/>
    <w:rsid w:val="00FD36E6"/>
    <w:rsid w:val="00FD3B55"/>
    <w:rsid w:val="00FD3E31"/>
    <w:rsid w:val="00FD437B"/>
    <w:rsid w:val="00FD43A0"/>
    <w:rsid w:val="00FD516E"/>
    <w:rsid w:val="00FD64D1"/>
    <w:rsid w:val="00FD6666"/>
    <w:rsid w:val="00FD6D67"/>
    <w:rsid w:val="00FD70BC"/>
    <w:rsid w:val="00FD72D6"/>
    <w:rsid w:val="00FD7882"/>
    <w:rsid w:val="00FD78A8"/>
    <w:rsid w:val="00FE05B4"/>
    <w:rsid w:val="00FE0C3D"/>
    <w:rsid w:val="00FE0CA1"/>
    <w:rsid w:val="00FE0E64"/>
    <w:rsid w:val="00FE1350"/>
    <w:rsid w:val="00FE1468"/>
    <w:rsid w:val="00FE14A9"/>
    <w:rsid w:val="00FE17F0"/>
    <w:rsid w:val="00FE1C57"/>
    <w:rsid w:val="00FE22C2"/>
    <w:rsid w:val="00FE2B1B"/>
    <w:rsid w:val="00FE2F87"/>
    <w:rsid w:val="00FE3AC3"/>
    <w:rsid w:val="00FE3B20"/>
    <w:rsid w:val="00FE3B72"/>
    <w:rsid w:val="00FE40BD"/>
    <w:rsid w:val="00FE44BC"/>
    <w:rsid w:val="00FE4743"/>
    <w:rsid w:val="00FE5906"/>
    <w:rsid w:val="00FE5B09"/>
    <w:rsid w:val="00FE6ED2"/>
    <w:rsid w:val="00FE702D"/>
    <w:rsid w:val="00FE7234"/>
    <w:rsid w:val="00FE7A21"/>
    <w:rsid w:val="00FF166D"/>
    <w:rsid w:val="00FF1CA6"/>
    <w:rsid w:val="00FF1EF9"/>
    <w:rsid w:val="00FF318E"/>
    <w:rsid w:val="00FF34DD"/>
    <w:rsid w:val="00FF3A8D"/>
    <w:rsid w:val="00FF459F"/>
    <w:rsid w:val="00FF49BB"/>
    <w:rsid w:val="00FF4F31"/>
    <w:rsid w:val="00FF5207"/>
    <w:rsid w:val="00FF5216"/>
    <w:rsid w:val="00FF53AA"/>
    <w:rsid w:val="00FF554A"/>
    <w:rsid w:val="00FF56B7"/>
    <w:rsid w:val="00FF5CE2"/>
    <w:rsid w:val="00FF60C8"/>
    <w:rsid w:val="00FF678F"/>
    <w:rsid w:val="00FF711C"/>
    <w:rsid w:val="00FF7228"/>
    <w:rsid w:val="00FF7A8D"/>
    <w:rsid w:val="00FF7A90"/>
    <w:rsid w:val="011F7A58"/>
    <w:rsid w:val="01213A58"/>
    <w:rsid w:val="02073072"/>
    <w:rsid w:val="0267191A"/>
    <w:rsid w:val="026C76DD"/>
    <w:rsid w:val="0277182F"/>
    <w:rsid w:val="02930449"/>
    <w:rsid w:val="02950A31"/>
    <w:rsid w:val="02A9385E"/>
    <w:rsid w:val="02BE0C59"/>
    <w:rsid w:val="02DB0B88"/>
    <w:rsid w:val="02EE33B2"/>
    <w:rsid w:val="03B705C7"/>
    <w:rsid w:val="03B70F13"/>
    <w:rsid w:val="03D1225A"/>
    <w:rsid w:val="03D4252A"/>
    <w:rsid w:val="03EC400D"/>
    <w:rsid w:val="04501366"/>
    <w:rsid w:val="048765F5"/>
    <w:rsid w:val="04C05FC9"/>
    <w:rsid w:val="04C64FC6"/>
    <w:rsid w:val="050448E5"/>
    <w:rsid w:val="053422A4"/>
    <w:rsid w:val="05417F39"/>
    <w:rsid w:val="055C681D"/>
    <w:rsid w:val="056C5030"/>
    <w:rsid w:val="05BD68DA"/>
    <w:rsid w:val="06040169"/>
    <w:rsid w:val="0637582D"/>
    <w:rsid w:val="063E3412"/>
    <w:rsid w:val="06CA43B4"/>
    <w:rsid w:val="070F7E97"/>
    <w:rsid w:val="078E00C5"/>
    <w:rsid w:val="07AB1732"/>
    <w:rsid w:val="07C43DA2"/>
    <w:rsid w:val="07DB6514"/>
    <w:rsid w:val="07F84EC6"/>
    <w:rsid w:val="07FA6E0C"/>
    <w:rsid w:val="0819522E"/>
    <w:rsid w:val="083D45C2"/>
    <w:rsid w:val="084714A6"/>
    <w:rsid w:val="08D6627B"/>
    <w:rsid w:val="098E6E41"/>
    <w:rsid w:val="09952E26"/>
    <w:rsid w:val="099B6B9C"/>
    <w:rsid w:val="0A54491D"/>
    <w:rsid w:val="0A607334"/>
    <w:rsid w:val="0ABD2D68"/>
    <w:rsid w:val="0B4A2A9F"/>
    <w:rsid w:val="0BAF1CFF"/>
    <w:rsid w:val="0BF17CA4"/>
    <w:rsid w:val="0BFD0F67"/>
    <w:rsid w:val="0C170AA4"/>
    <w:rsid w:val="0C2B6E07"/>
    <w:rsid w:val="0C410860"/>
    <w:rsid w:val="0C722B5E"/>
    <w:rsid w:val="0C7F3FCE"/>
    <w:rsid w:val="0CBA1B68"/>
    <w:rsid w:val="0CFB6154"/>
    <w:rsid w:val="0D2F1B39"/>
    <w:rsid w:val="0DA731A2"/>
    <w:rsid w:val="0DB774A4"/>
    <w:rsid w:val="0DC77039"/>
    <w:rsid w:val="0DF6622D"/>
    <w:rsid w:val="0DFA195E"/>
    <w:rsid w:val="0E232942"/>
    <w:rsid w:val="0E464727"/>
    <w:rsid w:val="0EE07FE6"/>
    <w:rsid w:val="0F5A1FFB"/>
    <w:rsid w:val="0F675729"/>
    <w:rsid w:val="0F8915B4"/>
    <w:rsid w:val="0F8B6FBF"/>
    <w:rsid w:val="0F9E40CB"/>
    <w:rsid w:val="0F9F164E"/>
    <w:rsid w:val="101F1C68"/>
    <w:rsid w:val="10993705"/>
    <w:rsid w:val="114802B6"/>
    <w:rsid w:val="116B26EE"/>
    <w:rsid w:val="11735B02"/>
    <w:rsid w:val="11757160"/>
    <w:rsid w:val="11981570"/>
    <w:rsid w:val="11B1414D"/>
    <w:rsid w:val="11F801BE"/>
    <w:rsid w:val="12333659"/>
    <w:rsid w:val="123F71A7"/>
    <w:rsid w:val="128508EA"/>
    <w:rsid w:val="128C0939"/>
    <w:rsid w:val="138F2FBA"/>
    <w:rsid w:val="13F114F5"/>
    <w:rsid w:val="14012FFF"/>
    <w:rsid w:val="149E1715"/>
    <w:rsid w:val="14ED019D"/>
    <w:rsid w:val="14FC2618"/>
    <w:rsid w:val="16326BEB"/>
    <w:rsid w:val="166C280E"/>
    <w:rsid w:val="168B2BFE"/>
    <w:rsid w:val="169B697C"/>
    <w:rsid w:val="16A830A3"/>
    <w:rsid w:val="16BA0E7A"/>
    <w:rsid w:val="16BF030A"/>
    <w:rsid w:val="17007EA5"/>
    <w:rsid w:val="171832EC"/>
    <w:rsid w:val="181F2ADB"/>
    <w:rsid w:val="188A61B5"/>
    <w:rsid w:val="18BB77E2"/>
    <w:rsid w:val="19142030"/>
    <w:rsid w:val="19A32F28"/>
    <w:rsid w:val="19B01189"/>
    <w:rsid w:val="19B40430"/>
    <w:rsid w:val="1A3008C8"/>
    <w:rsid w:val="1A5D209B"/>
    <w:rsid w:val="1A631BEC"/>
    <w:rsid w:val="1A685599"/>
    <w:rsid w:val="1A8205F1"/>
    <w:rsid w:val="1AEC4C8D"/>
    <w:rsid w:val="1B165A04"/>
    <w:rsid w:val="1B403D2F"/>
    <w:rsid w:val="1B925EC2"/>
    <w:rsid w:val="1C4172C6"/>
    <w:rsid w:val="1CB46E20"/>
    <w:rsid w:val="1CBD04E5"/>
    <w:rsid w:val="1CE5706F"/>
    <w:rsid w:val="1D3E2E2B"/>
    <w:rsid w:val="1D630D23"/>
    <w:rsid w:val="1D841B55"/>
    <w:rsid w:val="1DDE43E0"/>
    <w:rsid w:val="1E651997"/>
    <w:rsid w:val="1E7103AC"/>
    <w:rsid w:val="1FDB4EB2"/>
    <w:rsid w:val="2044705C"/>
    <w:rsid w:val="205E0568"/>
    <w:rsid w:val="20863642"/>
    <w:rsid w:val="20A809DF"/>
    <w:rsid w:val="20B7259E"/>
    <w:rsid w:val="20C50A91"/>
    <w:rsid w:val="20EF6681"/>
    <w:rsid w:val="210440AF"/>
    <w:rsid w:val="21474005"/>
    <w:rsid w:val="216E687E"/>
    <w:rsid w:val="21B6456B"/>
    <w:rsid w:val="22243B97"/>
    <w:rsid w:val="22432D1D"/>
    <w:rsid w:val="22B04F3A"/>
    <w:rsid w:val="22DC2C70"/>
    <w:rsid w:val="22ED111A"/>
    <w:rsid w:val="23021933"/>
    <w:rsid w:val="232A3495"/>
    <w:rsid w:val="23335AD5"/>
    <w:rsid w:val="233533F0"/>
    <w:rsid w:val="235A0EF4"/>
    <w:rsid w:val="236B49F1"/>
    <w:rsid w:val="2388647F"/>
    <w:rsid w:val="239565B6"/>
    <w:rsid w:val="2395716C"/>
    <w:rsid w:val="23C800B6"/>
    <w:rsid w:val="23DA3632"/>
    <w:rsid w:val="23F46B71"/>
    <w:rsid w:val="23F73E1C"/>
    <w:rsid w:val="2437747E"/>
    <w:rsid w:val="247B6F8B"/>
    <w:rsid w:val="24AD59D5"/>
    <w:rsid w:val="24D93581"/>
    <w:rsid w:val="25370A5D"/>
    <w:rsid w:val="25680FC8"/>
    <w:rsid w:val="256B35B7"/>
    <w:rsid w:val="25771E5E"/>
    <w:rsid w:val="257B392E"/>
    <w:rsid w:val="2613066D"/>
    <w:rsid w:val="261B29A3"/>
    <w:rsid w:val="26290470"/>
    <w:rsid w:val="262C79E6"/>
    <w:rsid w:val="26856A6F"/>
    <w:rsid w:val="26BB11B1"/>
    <w:rsid w:val="26D44F66"/>
    <w:rsid w:val="278E7BAD"/>
    <w:rsid w:val="27A94FAE"/>
    <w:rsid w:val="281B036B"/>
    <w:rsid w:val="282F0E48"/>
    <w:rsid w:val="28460AAB"/>
    <w:rsid w:val="28744B0E"/>
    <w:rsid w:val="29125CCC"/>
    <w:rsid w:val="294D4652"/>
    <w:rsid w:val="295C75FE"/>
    <w:rsid w:val="29856F42"/>
    <w:rsid w:val="29B4164A"/>
    <w:rsid w:val="2ABE323D"/>
    <w:rsid w:val="2AC22436"/>
    <w:rsid w:val="2AD37272"/>
    <w:rsid w:val="2AF21CCB"/>
    <w:rsid w:val="2B025AB9"/>
    <w:rsid w:val="2BDE352C"/>
    <w:rsid w:val="2BEC390F"/>
    <w:rsid w:val="2C5C3335"/>
    <w:rsid w:val="2C6F3580"/>
    <w:rsid w:val="2CEC1574"/>
    <w:rsid w:val="2D164842"/>
    <w:rsid w:val="2D6E2209"/>
    <w:rsid w:val="2D717EBF"/>
    <w:rsid w:val="2D9B73B2"/>
    <w:rsid w:val="2DB526F1"/>
    <w:rsid w:val="2DC03F31"/>
    <w:rsid w:val="2DC73C72"/>
    <w:rsid w:val="2DCF04CC"/>
    <w:rsid w:val="2DEA3607"/>
    <w:rsid w:val="2E520984"/>
    <w:rsid w:val="2E992207"/>
    <w:rsid w:val="2ECF2765"/>
    <w:rsid w:val="2EE90F3A"/>
    <w:rsid w:val="2EF16C28"/>
    <w:rsid w:val="2F3D0D4D"/>
    <w:rsid w:val="2F5D1728"/>
    <w:rsid w:val="2F5F6B87"/>
    <w:rsid w:val="2FA840D6"/>
    <w:rsid w:val="2FB72A62"/>
    <w:rsid w:val="2FD847C1"/>
    <w:rsid w:val="2FEE2B22"/>
    <w:rsid w:val="2FFB554B"/>
    <w:rsid w:val="30636142"/>
    <w:rsid w:val="30CF49BD"/>
    <w:rsid w:val="30D365BF"/>
    <w:rsid w:val="30E838C2"/>
    <w:rsid w:val="30EB09E4"/>
    <w:rsid w:val="31516CBA"/>
    <w:rsid w:val="31776572"/>
    <w:rsid w:val="318402F2"/>
    <w:rsid w:val="318E5E81"/>
    <w:rsid w:val="31F856D8"/>
    <w:rsid w:val="323B031F"/>
    <w:rsid w:val="323E5ADC"/>
    <w:rsid w:val="32594A32"/>
    <w:rsid w:val="327F0D6D"/>
    <w:rsid w:val="3298502C"/>
    <w:rsid w:val="32EA7B47"/>
    <w:rsid w:val="332E6449"/>
    <w:rsid w:val="33305353"/>
    <w:rsid w:val="335C462E"/>
    <w:rsid w:val="3372419F"/>
    <w:rsid w:val="33BB3E35"/>
    <w:rsid w:val="33C77EE4"/>
    <w:rsid w:val="33D777A9"/>
    <w:rsid w:val="34A17392"/>
    <w:rsid w:val="3506033D"/>
    <w:rsid w:val="351D3F53"/>
    <w:rsid w:val="353A2C80"/>
    <w:rsid w:val="356F4949"/>
    <w:rsid w:val="35734152"/>
    <w:rsid w:val="35D00AD9"/>
    <w:rsid w:val="366216AC"/>
    <w:rsid w:val="366E5C0E"/>
    <w:rsid w:val="368F571D"/>
    <w:rsid w:val="36C12E09"/>
    <w:rsid w:val="36CF7A78"/>
    <w:rsid w:val="36DF4186"/>
    <w:rsid w:val="36E34C11"/>
    <w:rsid w:val="371B4C30"/>
    <w:rsid w:val="37285046"/>
    <w:rsid w:val="37756CDA"/>
    <w:rsid w:val="377C56B9"/>
    <w:rsid w:val="37AD097C"/>
    <w:rsid w:val="37DD6A98"/>
    <w:rsid w:val="3801163F"/>
    <w:rsid w:val="38063FF0"/>
    <w:rsid w:val="38976F82"/>
    <w:rsid w:val="389D6EF1"/>
    <w:rsid w:val="38A37016"/>
    <w:rsid w:val="38C1661E"/>
    <w:rsid w:val="38C237C0"/>
    <w:rsid w:val="390D58F2"/>
    <w:rsid w:val="391107BC"/>
    <w:rsid w:val="39641127"/>
    <w:rsid w:val="396A49BC"/>
    <w:rsid w:val="397C7FF5"/>
    <w:rsid w:val="3A071250"/>
    <w:rsid w:val="3A1156A6"/>
    <w:rsid w:val="3A305824"/>
    <w:rsid w:val="3AB908F8"/>
    <w:rsid w:val="3ABF472B"/>
    <w:rsid w:val="3BD131EC"/>
    <w:rsid w:val="3C5D732D"/>
    <w:rsid w:val="3CBC7713"/>
    <w:rsid w:val="3CDD0635"/>
    <w:rsid w:val="3D4B7D60"/>
    <w:rsid w:val="3D582F3D"/>
    <w:rsid w:val="3D635FB3"/>
    <w:rsid w:val="3DDC1AB1"/>
    <w:rsid w:val="3DEA7660"/>
    <w:rsid w:val="3DED6437"/>
    <w:rsid w:val="3E7E4AF5"/>
    <w:rsid w:val="3EB97A8B"/>
    <w:rsid w:val="3F333E2E"/>
    <w:rsid w:val="3F3F5906"/>
    <w:rsid w:val="3F887C06"/>
    <w:rsid w:val="3FB67BDD"/>
    <w:rsid w:val="3FC67156"/>
    <w:rsid w:val="3FD5327A"/>
    <w:rsid w:val="3FE65935"/>
    <w:rsid w:val="405D4A9B"/>
    <w:rsid w:val="406B4B1B"/>
    <w:rsid w:val="40AE61DF"/>
    <w:rsid w:val="40B43AA0"/>
    <w:rsid w:val="40B81A67"/>
    <w:rsid w:val="40C521AD"/>
    <w:rsid w:val="40DC52F7"/>
    <w:rsid w:val="40EE33A8"/>
    <w:rsid w:val="40FC35F1"/>
    <w:rsid w:val="4139233A"/>
    <w:rsid w:val="41916652"/>
    <w:rsid w:val="41A27020"/>
    <w:rsid w:val="41B51BD2"/>
    <w:rsid w:val="42013684"/>
    <w:rsid w:val="423B2113"/>
    <w:rsid w:val="423B748B"/>
    <w:rsid w:val="4264107A"/>
    <w:rsid w:val="42D414A6"/>
    <w:rsid w:val="42D71DDD"/>
    <w:rsid w:val="42F1116F"/>
    <w:rsid w:val="42F56BC7"/>
    <w:rsid w:val="43351622"/>
    <w:rsid w:val="43C30E83"/>
    <w:rsid w:val="441F10CF"/>
    <w:rsid w:val="44384919"/>
    <w:rsid w:val="444E72BB"/>
    <w:rsid w:val="44D746C6"/>
    <w:rsid w:val="451A5B21"/>
    <w:rsid w:val="451F1D27"/>
    <w:rsid w:val="45781B63"/>
    <w:rsid w:val="458D59CB"/>
    <w:rsid w:val="45D26CEF"/>
    <w:rsid w:val="460B17CA"/>
    <w:rsid w:val="464E1C1D"/>
    <w:rsid w:val="465025AE"/>
    <w:rsid w:val="46745E49"/>
    <w:rsid w:val="46973E3C"/>
    <w:rsid w:val="46B64D4C"/>
    <w:rsid w:val="47051A2F"/>
    <w:rsid w:val="470556A3"/>
    <w:rsid w:val="470C3C78"/>
    <w:rsid w:val="47356375"/>
    <w:rsid w:val="4764394A"/>
    <w:rsid w:val="47645F82"/>
    <w:rsid w:val="47951D04"/>
    <w:rsid w:val="47CC1944"/>
    <w:rsid w:val="47ED4DAF"/>
    <w:rsid w:val="47F1283D"/>
    <w:rsid w:val="47F81FBC"/>
    <w:rsid w:val="481936C5"/>
    <w:rsid w:val="481A56C9"/>
    <w:rsid w:val="481B0FF2"/>
    <w:rsid w:val="481C66FC"/>
    <w:rsid w:val="487F1BFC"/>
    <w:rsid w:val="48D33E67"/>
    <w:rsid w:val="49050A18"/>
    <w:rsid w:val="494C25E4"/>
    <w:rsid w:val="497B15C1"/>
    <w:rsid w:val="49C91B9F"/>
    <w:rsid w:val="49DC0270"/>
    <w:rsid w:val="4A7A123A"/>
    <w:rsid w:val="4AAD1C39"/>
    <w:rsid w:val="4AC912FC"/>
    <w:rsid w:val="4AF73F54"/>
    <w:rsid w:val="4B4C1BF9"/>
    <w:rsid w:val="4B662F51"/>
    <w:rsid w:val="4BAC39F1"/>
    <w:rsid w:val="4C492368"/>
    <w:rsid w:val="4C984D2A"/>
    <w:rsid w:val="4CE84636"/>
    <w:rsid w:val="4D3B5332"/>
    <w:rsid w:val="4D3C5AC2"/>
    <w:rsid w:val="4D9238B1"/>
    <w:rsid w:val="4DC74889"/>
    <w:rsid w:val="4DCA7647"/>
    <w:rsid w:val="4E4B7AAC"/>
    <w:rsid w:val="4EA16017"/>
    <w:rsid w:val="4ED53B79"/>
    <w:rsid w:val="4EF919C5"/>
    <w:rsid w:val="4F1A66AA"/>
    <w:rsid w:val="4F3942C7"/>
    <w:rsid w:val="4F7073AD"/>
    <w:rsid w:val="4F7E12CB"/>
    <w:rsid w:val="4FD30F21"/>
    <w:rsid w:val="50792BD0"/>
    <w:rsid w:val="50884B37"/>
    <w:rsid w:val="509E19FE"/>
    <w:rsid w:val="51082CD0"/>
    <w:rsid w:val="512D140E"/>
    <w:rsid w:val="517F7C78"/>
    <w:rsid w:val="51AA0A83"/>
    <w:rsid w:val="51B30DA9"/>
    <w:rsid w:val="5218440A"/>
    <w:rsid w:val="52641E37"/>
    <w:rsid w:val="52921BF8"/>
    <w:rsid w:val="52B7077B"/>
    <w:rsid w:val="53693D0D"/>
    <w:rsid w:val="53CD5E53"/>
    <w:rsid w:val="53F7734B"/>
    <w:rsid w:val="54142143"/>
    <w:rsid w:val="542E4239"/>
    <w:rsid w:val="544613CD"/>
    <w:rsid w:val="54506D34"/>
    <w:rsid w:val="547B56B6"/>
    <w:rsid w:val="54856C8B"/>
    <w:rsid w:val="54B61485"/>
    <w:rsid w:val="551C3206"/>
    <w:rsid w:val="55297FD7"/>
    <w:rsid w:val="558E2F9D"/>
    <w:rsid w:val="559D490A"/>
    <w:rsid w:val="559D615E"/>
    <w:rsid w:val="55B35DDD"/>
    <w:rsid w:val="55BD6BDC"/>
    <w:rsid w:val="55ED2688"/>
    <w:rsid w:val="565B5C96"/>
    <w:rsid w:val="56E74774"/>
    <w:rsid w:val="570E5383"/>
    <w:rsid w:val="57817097"/>
    <w:rsid w:val="578323B7"/>
    <w:rsid w:val="579F1F19"/>
    <w:rsid w:val="57B157CE"/>
    <w:rsid w:val="58255E2A"/>
    <w:rsid w:val="58410603"/>
    <w:rsid w:val="588318E7"/>
    <w:rsid w:val="58A53D2D"/>
    <w:rsid w:val="58B00A20"/>
    <w:rsid w:val="58C66AED"/>
    <w:rsid w:val="58E1068F"/>
    <w:rsid w:val="5A4D35C0"/>
    <w:rsid w:val="5A7D47FE"/>
    <w:rsid w:val="5AA43607"/>
    <w:rsid w:val="5AF85BDC"/>
    <w:rsid w:val="5B096FD9"/>
    <w:rsid w:val="5C132764"/>
    <w:rsid w:val="5C331EAB"/>
    <w:rsid w:val="5C571066"/>
    <w:rsid w:val="5CA56C41"/>
    <w:rsid w:val="5CAA41CE"/>
    <w:rsid w:val="5D28297E"/>
    <w:rsid w:val="5D454386"/>
    <w:rsid w:val="5D710B48"/>
    <w:rsid w:val="5DAC4298"/>
    <w:rsid w:val="5E1858F1"/>
    <w:rsid w:val="5E1A6801"/>
    <w:rsid w:val="5E4E5D8C"/>
    <w:rsid w:val="5E542953"/>
    <w:rsid w:val="5E687896"/>
    <w:rsid w:val="5E7D4D4C"/>
    <w:rsid w:val="5E9742C3"/>
    <w:rsid w:val="5EA97601"/>
    <w:rsid w:val="5F4F49D0"/>
    <w:rsid w:val="5F76352C"/>
    <w:rsid w:val="5FD66D10"/>
    <w:rsid w:val="6095107F"/>
    <w:rsid w:val="609C7CD8"/>
    <w:rsid w:val="617162D9"/>
    <w:rsid w:val="61AB726F"/>
    <w:rsid w:val="61D0219F"/>
    <w:rsid w:val="61FB2C22"/>
    <w:rsid w:val="62001C50"/>
    <w:rsid w:val="622D2C0E"/>
    <w:rsid w:val="6244346D"/>
    <w:rsid w:val="62736EDA"/>
    <w:rsid w:val="62B02DF2"/>
    <w:rsid w:val="62D471F1"/>
    <w:rsid w:val="62D81D63"/>
    <w:rsid w:val="630D2575"/>
    <w:rsid w:val="634328D9"/>
    <w:rsid w:val="63520A10"/>
    <w:rsid w:val="641242F4"/>
    <w:rsid w:val="644C2922"/>
    <w:rsid w:val="645D0FB9"/>
    <w:rsid w:val="64697DF7"/>
    <w:rsid w:val="648A5C18"/>
    <w:rsid w:val="64C66406"/>
    <w:rsid w:val="654E14C8"/>
    <w:rsid w:val="65587325"/>
    <w:rsid w:val="65E30339"/>
    <w:rsid w:val="662B0B07"/>
    <w:rsid w:val="6650080E"/>
    <w:rsid w:val="666C1E21"/>
    <w:rsid w:val="667E0DEA"/>
    <w:rsid w:val="6686160D"/>
    <w:rsid w:val="66E24B5A"/>
    <w:rsid w:val="676E306E"/>
    <w:rsid w:val="67AF3727"/>
    <w:rsid w:val="67B77E33"/>
    <w:rsid w:val="67CC4ED9"/>
    <w:rsid w:val="67DF07FB"/>
    <w:rsid w:val="681A386A"/>
    <w:rsid w:val="686413C2"/>
    <w:rsid w:val="689409BA"/>
    <w:rsid w:val="697E291A"/>
    <w:rsid w:val="69A13205"/>
    <w:rsid w:val="69B412DD"/>
    <w:rsid w:val="69CF0205"/>
    <w:rsid w:val="69F15AF2"/>
    <w:rsid w:val="69F33CBE"/>
    <w:rsid w:val="6A3125C6"/>
    <w:rsid w:val="6A5113C7"/>
    <w:rsid w:val="6A6E225F"/>
    <w:rsid w:val="6A7D2007"/>
    <w:rsid w:val="6AA2437A"/>
    <w:rsid w:val="6B266D87"/>
    <w:rsid w:val="6B410B97"/>
    <w:rsid w:val="6BB13D76"/>
    <w:rsid w:val="6BCF3732"/>
    <w:rsid w:val="6BDA3B65"/>
    <w:rsid w:val="6BF2096B"/>
    <w:rsid w:val="6C15336B"/>
    <w:rsid w:val="6C386021"/>
    <w:rsid w:val="6C4A4E5E"/>
    <w:rsid w:val="6C8D084C"/>
    <w:rsid w:val="6C943DC1"/>
    <w:rsid w:val="6C9D7684"/>
    <w:rsid w:val="6CBF3B7A"/>
    <w:rsid w:val="6CD47B1D"/>
    <w:rsid w:val="6CDB2ACA"/>
    <w:rsid w:val="6CF250BC"/>
    <w:rsid w:val="6D587133"/>
    <w:rsid w:val="6D9A39BC"/>
    <w:rsid w:val="6DDF39CB"/>
    <w:rsid w:val="6DDF6245"/>
    <w:rsid w:val="6DE254F0"/>
    <w:rsid w:val="6DF2554A"/>
    <w:rsid w:val="6DFF6D1D"/>
    <w:rsid w:val="6E2E192A"/>
    <w:rsid w:val="6E5B3508"/>
    <w:rsid w:val="6E704B22"/>
    <w:rsid w:val="6EDE0060"/>
    <w:rsid w:val="6EF74B43"/>
    <w:rsid w:val="6F023D4E"/>
    <w:rsid w:val="6F1C6394"/>
    <w:rsid w:val="6F24315A"/>
    <w:rsid w:val="6F2564B4"/>
    <w:rsid w:val="6F6A3628"/>
    <w:rsid w:val="6F76603F"/>
    <w:rsid w:val="6FD87B75"/>
    <w:rsid w:val="6FEA7F41"/>
    <w:rsid w:val="70177499"/>
    <w:rsid w:val="70311033"/>
    <w:rsid w:val="706D3A5D"/>
    <w:rsid w:val="7079551C"/>
    <w:rsid w:val="70A31446"/>
    <w:rsid w:val="70E473F0"/>
    <w:rsid w:val="710303EC"/>
    <w:rsid w:val="7116568F"/>
    <w:rsid w:val="71D56048"/>
    <w:rsid w:val="71DA32A2"/>
    <w:rsid w:val="71E61B33"/>
    <w:rsid w:val="720B49A5"/>
    <w:rsid w:val="724B68DB"/>
    <w:rsid w:val="72B13527"/>
    <w:rsid w:val="73002DDF"/>
    <w:rsid w:val="73436578"/>
    <w:rsid w:val="73682853"/>
    <w:rsid w:val="73A005B7"/>
    <w:rsid w:val="73E70F2F"/>
    <w:rsid w:val="73EE67B6"/>
    <w:rsid w:val="743378B6"/>
    <w:rsid w:val="74F906BE"/>
    <w:rsid w:val="74FE21A3"/>
    <w:rsid w:val="7555043F"/>
    <w:rsid w:val="75A77B9F"/>
    <w:rsid w:val="75AD6754"/>
    <w:rsid w:val="75C13883"/>
    <w:rsid w:val="763D17F1"/>
    <w:rsid w:val="76450C5A"/>
    <w:rsid w:val="769D176B"/>
    <w:rsid w:val="773579F0"/>
    <w:rsid w:val="773E5ED9"/>
    <w:rsid w:val="77614681"/>
    <w:rsid w:val="77895D37"/>
    <w:rsid w:val="7794555C"/>
    <w:rsid w:val="77966E5A"/>
    <w:rsid w:val="77FA7BB3"/>
    <w:rsid w:val="78772851"/>
    <w:rsid w:val="78C93824"/>
    <w:rsid w:val="7955094F"/>
    <w:rsid w:val="795C22FC"/>
    <w:rsid w:val="79773DCE"/>
    <w:rsid w:val="797B341A"/>
    <w:rsid w:val="79965350"/>
    <w:rsid w:val="7A0E0C58"/>
    <w:rsid w:val="7A1F16B4"/>
    <w:rsid w:val="7A274379"/>
    <w:rsid w:val="7AB43A10"/>
    <w:rsid w:val="7B0A6E53"/>
    <w:rsid w:val="7B6057EA"/>
    <w:rsid w:val="7B683F0C"/>
    <w:rsid w:val="7B685AC1"/>
    <w:rsid w:val="7B9D5C1A"/>
    <w:rsid w:val="7BAA6295"/>
    <w:rsid w:val="7BC06686"/>
    <w:rsid w:val="7BE762EE"/>
    <w:rsid w:val="7BEB632F"/>
    <w:rsid w:val="7C5F486C"/>
    <w:rsid w:val="7CBB407A"/>
    <w:rsid w:val="7CD31F78"/>
    <w:rsid w:val="7CE04A2B"/>
    <w:rsid w:val="7D02491C"/>
    <w:rsid w:val="7D17685E"/>
    <w:rsid w:val="7D207C61"/>
    <w:rsid w:val="7D2D2B87"/>
    <w:rsid w:val="7D3E50ED"/>
    <w:rsid w:val="7D5672FD"/>
    <w:rsid w:val="7D5F05DA"/>
    <w:rsid w:val="7D740A5E"/>
    <w:rsid w:val="7E4069C7"/>
    <w:rsid w:val="7E4157E0"/>
    <w:rsid w:val="7E4E4E89"/>
    <w:rsid w:val="7E750D75"/>
    <w:rsid w:val="7EAA2BFC"/>
    <w:rsid w:val="7F323607"/>
    <w:rsid w:val="7F813388"/>
    <w:rsid w:val="7FAF5C9D"/>
  </w:rsids>
  <m:mathPr>
    <m:lMargin m:val="0"/>
    <m:mathFont m:val="Cambria Math"/>
    <m:rMargin m:val="0"/>
    <m:wrapIndent m:val="1440"/>
    <m:brkBin m:val="before"/>
    <m:brkBinSub m:val="--"/>
    <m:defJc m:val="centerGroup"/>
    <m:intLim m:val="subSup"/>
    <m:naryLim m:val="undOvr"/>
    <m:smallFrac m:val="0"/>
    <m:dispDef/>
  </m:mathPr>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0"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76" w:lineRule="auto"/>
      <w:jc w:val="both"/>
    </w:pPr>
    <w:rPr>
      <w:rFonts w:ascii="Times New Roman" w:hAnsi="Times New Roman" w:eastAsia="宋体" w:cs="Times New Roman"/>
      <w:szCs w:val="22"/>
      <w:lang w:val="en-US" w:eastAsia="zh-CN" w:bidi="ar-SA"/>
    </w:rPr>
  </w:style>
  <w:style w:type="paragraph" w:styleId="2">
    <w:name w:val="heading 1"/>
    <w:basedOn w:val="1"/>
    <w:next w:val="1"/>
    <w:link w:val="23"/>
    <w:qFormat/>
    <w:uiPriority w:val="99"/>
    <w:pPr>
      <w:widowControl w:val="0"/>
      <w:numPr>
        <w:ilvl w:val="0"/>
        <w:numId w:val="1"/>
      </w:numPr>
      <w:autoSpaceDE w:val="0"/>
      <w:autoSpaceDN w:val="0"/>
      <w:adjustRightInd w:val="0"/>
      <w:spacing w:line="240" w:lineRule="auto"/>
      <w:outlineLvl w:val="0"/>
    </w:pPr>
    <w:rPr>
      <w:rFonts w:ascii="Arial" w:hAnsi="Arial" w:eastAsia="黑体"/>
      <w:b/>
      <w:bCs/>
      <w:sz w:val="30"/>
      <w:szCs w:val="30"/>
      <w:lang w:val="zh-CN"/>
    </w:rPr>
  </w:style>
  <w:style w:type="paragraph" w:styleId="3">
    <w:name w:val="heading 2"/>
    <w:basedOn w:val="1"/>
    <w:next w:val="1"/>
    <w:link w:val="53"/>
    <w:qFormat/>
    <w:uiPriority w:val="0"/>
    <w:pPr>
      <w:keepNext/>
      <w:keepLines/>
      <w:tabs>
        <w:tab w:val="left" w:pos="360"/>
      </w:tabs>
      <w:spacing w:before="120" w:after="60" w:line="240" w:lineRule="auto"/>
      <w:ind w:left="288" w:hanging="288"/>
      <w:outlineLvl w:val="1"/>
    </w:pPr>
    <w:rPr>
      <w:i/>
      <w:iCs/>
      <w:szCs w:val="20"/>
      <w:lang w:eastAsia="en-US"/>
    </w:rPr>
  </w:style>
  <w:style w:type="paragraph" w:styleId="4">
    <w:name w:val="heading 3"/>
    <w:basedOn w:val="1"/>
    <w:next w:val="1"/>
    <w:link w:val="39"/>
    <w:unhideWhenUsed/>
    <w:qFormat/>
    <w:uiPriority w:val="0"/>
    <w:pPr>
      <w:keepNext/>
      <w:keepLines/>
      <w:numPr>
        <w:ilvl w:val="2"/>
        <w:numId w:val="1"/>
      </w:numPr>
      <w:spacing w:before="260" w:after="260" w:line="416" w:lineRule="auto"/>
      <w:outlineLvl w:val="2"/>
    </w:pPr>
    <w:rPr>
      <w:b/>
      <w:bCs/>
      <w:sz w:val="32"/>
      <w:szCs w:val="32"/>
    </w:rPr>
  </w:style>
  <w:style w:type="paragraph" w:styleId="5">
    <w:name w:val="heading 4"/>
    <w:basedOn w:val="1"/>
    <w:next w:val="1"/>
    <w:link w:val="54"/>
    <w:qFormat/>
    <w:uiPriority w:val="0"/>
    <w:pPr>
      <w:tabs>
        <w:tab w:val="left" w:pos="720"/>
      </w:tabs>
      <w:spacing w:before="40" w:after="40" w:line="240" w:lineRule="auto"/>
      <w:ind w:firstLine="360"/>
      <w:outlineLvl w:val="3"/>
    </w:pPr>
    <w:rPr>
      <w:i/>
      <w:iCs/>
      <w:szCs w:val="20"/>
      <w:lang w:eastAsia="en-US"/>
    </w:rPr>
  </w:style>
  <w:style w:type="paragraph" w:styleId="6">
    <w:name w:val="heading 5"/>
    <w:basedOn w:val="1"/>
    <w:next w:val="1"/>
    <w:link w:val="55"/>
    <w:qFormat/>
    <w:uiPriority w:val="0"/>
    <w:pPr>
      <w:tabs>
        <w:tab w:val="left" w:pos="360"/>
      </w:tabs>
      <w:spacing w:before="160" w:after="80" w:line="240" w:lineRule="auto"/>
      <w:jc w:val="center"/>
      <w:outlineLvl w:val="4"/>
    </w:pPr>
    <w:rPr>
      <w:smallCaps/>
      <w:szCs w:val="20"/>
      <w:lang w:eastAsia="en-US"/>
    </w:rPr>
  </w:style>
  <w:style w:type="character" w:default="1" w:styleId="17">
    <w:name w:val="Default Paragraph Font"/>
    <w:unhideWhenUsed/>
    <w:qFormat/>
    <w:uiPriority w:val="1"/>
  </w:style>
  <w:style w:type="table" w:default="1" w:styleId="21">
    <w:name w:val="Normal Table"/>
    <w:unhideWhenUsed/>
    <w:qFormat/>
    <w:uiPriority w:val="99"/>
    <w:tblPr>
      <w:tblLayout w:type="fixed"/>
      <w:tblCellMar>
        <w:top w:w="0" w:type="dxa"/>
        <w:left w:w="108" w:type="dxa"/>
        <w:bottom w:w="0" w:type="dxa"/>
        <w:right w:w="108" w:type="dxa"/>
      </w:tblCellMar>
    </w:tblPr>
  </w:style>
  <w:style w:type="paragraph" w:styleId="7">
    <w:name w:val="annotation subject"/>
    <w:basedOn w:val="8"/>
    <w:next w:val="8"/>
    <w:link w:val="27"/>
    <w:unhideWhenUsed/>
    <w:qFormat/>
    <w:uiPriority w:val="0"/>
    <w:rPr>
      <w:b/>
      <w:bCs/>
    </w:rPr>
  </w:style>
  <w:style w:type="paragraph" w:styleId="8">
    <w:name w:val="annotation text"/>
    <w:basedOn w:val="1"/>
    <w:link w:val="26"/>
    <w:unhideWhenUsed/>
    <w:qFormat/>
    <w:uiPriority w:val="0"/>
    <w:rPr>
      <w:szCs w:val="20"/>
    </w:rPr>
  </w:style>
  <w:style w:type="paragraph" w:styleId="9">
    <w:name w:val="Normal Indent"/>
    <w:basedOn w:val="1"/>
    <w:qFormat/>
    <w:uiPriority w:val="0"/>
    <w:pPr>
      <w:widowControl w:val="0"/>
      <w:spacing w:line="240" w:lineRule="auto"/>
      <w:ind w:firstLine="420"/>
    </w:pPr>
    <w:rPr>
      <w:kern w:val="2"/>
      <w:sz w:val="21"/>
      <w:szCs w:val="20"/>
    </w:rPr>
  </w:style>
  <w:style w:type="paragraph" w:styleId="10">
    <w:name w:val="caption"/>
    <w:basedOn w:val="1"/>
    <w:next w:val="1"/>
    <w:link w:val="31"/>
    <w:qFormat/>
    <w:uiPriority w:val="0"/>
    <w:pPr>
      <w:tabs>
        <w:tab w:val="left" w:pos="1418"/>
      </w:tabs>
      <w:spacing w:before="120" w:line="240" w:lineRule="auto"/>
    </w:pPr>
    <w:rPr>
      <w:b/>
      <w:bCs/>
      <w:szCs w:val="20"/>
      <w:lang w:val="en-GB" w:eastAsia="sv-SE"/>
    </w:rPr>
  </w:style>
  <w:style w:type="paragraph" w:styleId="11">
    <w:name w:val="Document Map"/>
    <w:basedOn w:val="1"/>
    <w:link w:val="29"/>
    <w:unhideWhenUsed/>
    <w:qFormat/>
    <w:uiPriority w:val="0"/>
    <w:rPr>
      <w:rFonts w:ascii="宋体"/>
      <w:sz w:val="18"/>
      <w:szCs w:val="18"/>
    </w:rPr>
  </w:style>
  <w:style w:type="paragraph" w:styleId="12">
    <w:name w:val="Body Text"/>
    <w:basedOn w:val="1"/>
    <w:link w:val="30"/>
    <w:qFormat/>
    <w:uiPriority w:val="0"/>
    <w:pPr>
      <w:widowControl w:val="0"/>
      <w:spacing w:line="240" w:lineRule="auto"/>
    </w:pPr>
    <w:rPr>
      <w:color w:val="0000FF"/>
      <w:kern w:val="2"/>
      <w:sz w:val="21"/>
      <w:szCs w:val="20"/>
    </w:rPr>
  </w:style>
  <w:style w:type="paragraph" w:styleId="13">
    <w:name w:val="Balloon Text"/>
    <w:basedOn w:val="1"/>
    <w:link w:val="28"/>
    <w:unhideWhenUsed/>
    <w:qFormat/>
    <w:uiPriority w:val="0"/>
    <w:pPr>
      <w:spacing w:line="240" w:lineRule="auto"/>
    </w:pPr>
    <w:rPr>
      <w:rFonts w:ascii="Tahoma" w:hAnsi="Tahoma"/>
      <w:sz w:val="16"/>
      <w:szCs w:val="16"/>
    </w:rPr>
  </w:style>
  <w:style w:type="paragraph" w:styleId="14">
    <w:name w:val="footer"/>
    <w:basedOn w:val="1"/>
    <w:link w:val="76"/>
    <w:qFormat/>
    <w:uiPriority w:val="0"/>
    <w:pPr>
      <w:tabs>
        <w:tab w:val="center" w:pos="4153"/>
        <w:tab w:val="right" w:pos="8306"/>
      </w:tabs>
      <w:snapToGrid w:val="0"/>
      <w:spacing w:line="240" w:lineRule="auto"/>
    </w:pPr>
    <w:rPr>
      <w:sz w:val="18"/>
      <w:szCs w:val="18"/>
    </w:rPr>
  </w:style>
  <w:style w:type="paragraph" w:styleId="15">
    <w:name w:val="header"/>
    <w:basedOn w:val="1"/>
    <w:link w:val="24"/>
    <w:qFormat/>
    <w:uiPriority w:val="0"/>
    <w:pPr>
      <w:tabs>
        <w:tab w:val="center" w:pos="4536"/>
        <w:tab w:val="right" w:pos="9072"/>
      </w:tabs>
      <w:spacing w:line="240" w:lineRule="auto"/>
    </w:pPr>
    <w:rPr>
      <w:rFonts w:ascii="Arial" w:hAnsi="Arial" w:eastAsia="MS Mincho"/>
      <w:b/>
      <w:szCs w:val="24"/>
      <w:lang w:eastAsia="en-US"/>
    </w:rPr>
  </w:style>
  <w:style w:type="paragraph" w:styleId="16">
    <w:name w:val="Normal (Web)"/>
    <w:basedOn w:val="1"/>
    <w:unhideWhenUsed/>
    <w:qFormat/>
    <w:uiPriority w:val="99"/>
    <w:pPr>
      <w:spacing w:before="100" w:beforeAutospacing="1" w:after="100" w:afterAutospacing="1" w:line="240" w:lineRule="auto"/>
    </w:pPr>
    <w:rPr>
      <w:rFonts w:ascii="宋体" w:hAnsi="宋体" w:cs="宋体"/>
      <w:sz w:val="24"/>
      <w:szCs w:val="24"/>
    </w:rPr>
  </w:style>
  <w:style w:type="character" w:styleId="18">
    <w:name w:val="Hyperlink"/>
    <w:basedOn w:val="17"/>
    <w:unhideWhenUsed/>
    <w:qFormat/>
    <w:uiPriority w:val="99"/>
    <w:rPr>
      <w:color w:val="0000FF"/>
      <w:u w:val="single"/>
    </w:rPr>
  </w:style>
  <w:style w:type="character" w:styleId="19">
    <w:name w:val="annotation reference"/>
    <w:unhideWhenUsed/>
    <w:qFormat/>
    <w:uiPriority w:val="0"/>
    <w:rPr>
      <w:sz w:val="16"/>
      <w:szCs w:val="16"/>
    </w:rPr>
  </w:style>
  <w:style w:type="character" w:styleId="20">
    <w:name w:val="footnote reference"/>
    <w:semiHidden/>
    <w:qFormat/>
    <w:uiPriority w:val="0"/>
    <w:rPr>
      <w:b/>
      <w:position w:val="6"/>
      <w:sz w:val="16"/>
    </w:rPr>
  </w:style>
  <w:style w:type="table" w:styleId="22">
    <w:name w:val="Table Grid"/>
    <w:basedOn w:val="21"/>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character" w:customStyle="1" w:styleId="23">
    <w:name w:val="Heading 1 Char"/>
    <w:link w:val="2"/>
    <w:qFormat/>
    <w:uiPriority w:val="99"/>
    <w:rPr>
      <w:rFonts w:ascii="Arial" w:hAnsi="Arial" w:eastAsia="黑体"/>
      <w:b/>
      <w:bCs/>
      <w:sz w:val="30"/>
      <w:szCs w:val="30"/>
      <w:lang w:val="zh-CN"/>
    </w:rPr>
  </w:style>
  <w:style w:type="character" w:customStyle="1" w:styleId="24">
    <w:name w:val="Header Char"/>
    <w:link w:val="15"/>
    <w:qFormat/>
    <w:uiPriority w:val="0"/>
    <w:rPr>
      <w:rFonts w:ascii="Arial" w:hAnsi="Arial" w:eastAsia="MS Mincho"/>
      <w:b/>
      <w:szCs w:val="24"/>
      <w:lang w:eastAsia="en-US"/>
    </w:rPr>
  </w:style>
  <w:style w:type="paragraph" w:customStyle="1" w:styleId="25">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26">
    <w:name w:val="Comment Text Char"/>
    <w:basedOn w:val="17"/>
    <w:link w:val="8"/>
    <w:qFormat/>
    <w:uiPriority w:val="0"/>
  </w:style>
  <w:style w:type="character" w:customStyle="1" w:styleId="27">
    <w:name w:val="Comment Subject Char"/>
    <w:link w:val="7"/>
    <w:qFormat/>
    <w:uiPriority w:val="0"/>
    <w:rPr>
      <w:b/>
      <w:bCs/>
    </w:rPr>
  </w:style>
  <w:style w:type="character" w:customStyle="1" w:styleId="28">
    <w:name w:val="Balloon Text Char"/>
    <w:link w:val="13"/>
    <w:qFormat/>
    <w:uiPriority w:val="0"/>
    <w:rPr>
      <w:rFonts w:ascii="Tahoma" w:hAnsi="Tahoma" w:cs="Tahoma"/>
      <w:sz w:val="16"/>
      <w:szCs w:val="16"/>
    </w:rPr>
  </w:style>
  <w:style w:type="character" w:customStyle="1" w:styleId="29">
    <w:name w:val="Document Map Char"/>
    <w:link w:val="11"/>
    <w:qFormat/>
    <w:uiPriority w:val="0"/>
    <w:rPr>
      <w:rFonts w:ascii="宋体"/>
      <w:sz w:val="18"/>
      <w:szCs w:val="18"/>
    </w:rPr>
  </w:style>
  <w:style w:type="character" w:customStyle="1" w:styleId="30">
    <w:name w:val="Body Text Char"/>
    <w:link w:val="12"/>
    <w:qFormat/>
    <w:uiPriority w:val="0"/>
    <w:rPr>
      <w:rFonts w:ascii="Times New Roman" w:hAnsi="Times New Roman"/>
      <w:color w:val="0000FF"/>
      <w:kern w:val="2"/>
      <w:sz w:val="21"/>
    </w:rPr>
  </w:style>
  <w:style w:type="character" w:customStyle="1" w:styleId="31">
    <w:name w:val="Caption Char"/>
    <w:link w:val="10"/>
    <w:qFormat/>
    <w:uiPriority w:val="0"/>
    <w:rPr>
      <w:rFonts w:ascii="Times New Roman" w:hAnsi="Times New Roman"/>
      <w:b/>
      <w:bCs/>
      <w:lang w:val="en-GB" w:eastAsia="sv-SE"/>
    </w:rPr>
  </w:style>
  <w:style w:type="paragraph" w:customStyle="1" w:styleId="32">
    <w:name w:val="表格文字居左"/>
    <w:basedOn w:val="1"/>
    <w:next w:val="1"/>
    <w:qFormat/>
    <w:uiPriority w:val="0"/>
    <w:pPr>
      <w:widowControl w:val="0"/>
      <w:spacing w:line="240" w:lineRule="auto"/>
    </w:pPr>
    <w:rPr>
      <w:rFonts w:ascii="Arial" w:hAnsi="Arial" w:cs="宋体"/>
      <w:kern w:val="2"/>
      <w:sz w:val="21"/>
      <w:szCs w:val="20"/>
    </w:rPr>
  </w:style>
  <w:style w:type="paragraph" w:customStyle="1" w:styleId="33">
    <w:name w:val="TAH"/>
    <w:basedOn w:val="34"/>
    <w:qFormat/>
    <w:uiPriority w:val="0"/>
    <w:rPr>
      <w:b/>
    </w:rPr>
  </w:style>
  <w:style w:type="paragraph" w:customStyle="1" w:styleId="34">
    <w:name w:val="TAC"/>
    <w:basedOn w:val="1"/>
    <w:link w:val="35"/>
    <w:qFormat/>
    <w:uiPriority w:val="0"/>
    <w:pPr>
      <w:keepNext/>
      <w:keepLines/>
      <w:overflowPunct w:val="0"/>
      <w:autoSpaceDE w:val="0"/>
      <w:autoSpaceDN w:val="0"/>
      <w:adjustRightInd w:val="0"/>
      <w:spacing w:line="240" w:lineRule="auto"/>
      <w:jc w:val="center"/>
      <w:textAlignment w:val="baseline"/>
    </w:pPr>
    <w:rPr>
      <w:rFonts w:ascii="Arial" w:hAnsi="Arial" w:eastAsia="Times New Roman"/>
      <w:sz w:val="18"/>
      <w:szCs w:val="20"/>
      <w:lang w:val="en-GB" w:eastAsia="en-GB"/>
    </w:rPr>
  </w:style>
  <w:style w:type="character" w:customStyle="1" w:styleId="35">
    <w:name w:val="TAC Char"/>
    <w:link w:val="34"/>
    <w:qFormat/>
    <w:uiPriority w:val="0"/>
    <w:rPr>
      <w:rFonts w:ascii="Arial" w:hAnsi="Arial" w:eastAsia="Times New Roman"/>
      <w:sz w:val="18"/>
      <w:lang w:val="en-GB" w:eastAsia="en-GB"/>
    </w:rPr>
  </w:style>
  <w:style w:type="paragraph" w:customStyle="1" w:styleId="36">
    <w:name w:val="无间隔1"/>
    <w:qFormat/>
    <w:uiPriority w:val="1"/>
    <w:rPr>
      <w:rFonts w:ascii="Calibri" w:hAnsi="Calibri" w:eastAsia="宋体" w:cs="Times New Roman"/>
      <w:sz w:val="22"/>
      <w:szCs w:val="22"/>
      <w:lang w:val="en-US" w:eastAsia="zh-CN" w:bidi="ar-SA"/>
    </w:rPr>
  </w:style>
  <w:style w:type="character" w:customStyle="1" w:styleId="37">
    <w:name w:val="word"/>
    <w:basedOn w:val="17"/>
    <w:qFormat/>
    <w:uiPriority w:val="0"/>
  </w:style>
  <w:style w:type="paragraph" w:customStyle="1" w:styleId="38">
    <w:name w:val="列出段落1"/>
    <w:basedOn w:val="1"/>
    <w:link w:val="83"/>
    <w:qFormat/>
    <w:uiPriority w:val="99"/>
    <w:pPr>
      <w:widowControl w:val="0"/>
      <w:spacing w:line="240" w:lineRule="auto"/>
      <w:ind w:firstLine="420" w:firstLineChars="200"/>
    </w:pPr>
    <w:rPr>
      <w:kern w:val="2"/>
      <w:sz w:val="21"/>
    </w:rPr>
  </w:style>
  <w:style w:type="character" w:customStyle="1" w:styleId="39">
    <w:name w:val="Heading 3 Char"/>
    <w:link w:val="4"/>
    <w:qFormat/>
    <w:uiPriority w:val="0"/>
    <w:rPr>
      <w:rFonts w:ascii="Times New Roman" w:hAnsi="Times New Roman"/>
      <w:b/>
      <w:bCs/>
      <w:sz w:val="32"/>
      <w:szCs w:val="32"/>
    </w:rPr>
  </w:style>
  <w:style w:type="paragraph" w:customStyle="1" w:styleId="4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41">
    <w:name w:val="List Paragraph1"/>
    <w:basedOn w:val="1"/>
    <w:qFormat/>
    <w:uiPriority w:val="34"/>
    <w:pPr>
      <w:widowControl w:val="0"/>
      <w:spacing w:line="240" w:lineRule="auto"/>
      <w:ind w:firstLine="420" w:firstLineChars="200"/>
    </w:pPr>
    <w:rPr>
      <w:kern w:val="2"/>
      <w:sz w:val="21"/>
    </w:rPr>
  </w:style>
  <w:style w:type="paragraph" w:customStyle="1" w:styleId="42">
    <w:name w:val="TAL"/>
    <w:basedOn w:val="1"/>
    <w:qFormat/>
    <w:uiPriority w:val="0"/>
    <w:pPr>
      <w:keepNext/>
      <w:keepLines/>
      <w:spacing w:line="240" w:lineRule="auto"/>
    </w:pPr>
    <w:rPr>
      <w:rFonts w:ascii="Arial" w:hAnsi="Arial"/>
      <w:sz w:val="18"/>
      <w:szCs w:val="20"/>
      <w:lang w:val="en-GB" w:eastAsia="en-US"/>
    </w:rPr>
  </w:style>
  <w:style w:type="paragraph" w:customStyle="1" w:styleId="43">
    <w:name w:val="TH"/>
    <w:basedOn w:val="1"/>
    <w:link w:val="44"/>
    <w:qFormat/>
    <w:uiPriority w:val="0"/>
    <w:pPr>
      <w:keepNext/>
      <w:keepLines/>
      <w:spacing w:before="60" w:after="180" w:line="240" w:lineRule="auto"/>
      <w:jc w:val="center"/>
    </w:pPr>
    <w:rPr>
      <w:rFonts w:ascii="Arial" w:hAnsi="Arial"/>
      <w:b/>
      <w:szCs w:val="20"/>
      <w:lang w:val="en-GB" w:eastAsia="en-US"/>
    </w:rPr>
  </w:style>
  <w:style w:type="character" w:customStyle="1" w:styleId="44">
    <w:name w:val="TH Char"/>
    <w:link w:val="43"/>
    <w:qFormat/>
    <w:uiPriority w:val="0"/>
    <w:rPr>
      <w:rFonts w:ascii="Arial" w:hAnsi="Arial"/>
      <w:b/>
      <w:lang w:val="en-GB" w:eastAsia="en-US"/>
    </w:rPr>
  </w:style>
  <w:style w:type="paragraph" w:customStyle="1" w:styleId="45">
    <w:name w:val="TF"/>
    <w:basedOn w:val="43"/>
    <w:qFormat/>
    <w:uiPriority w:val="0"/>
    <w:pPr>
      <w:keepNext w:val="0"/>
      <w:overflowPunct w:val="0"/>
      <w:autoSpaceDE w:val="0"/>
      <w:autoSpaceDN w:val="0"/>
      <w:adjustRightInd w:val="0"/>
      <w:spacing w:before="0" w:after="240"/>
      <w:textAlignment w:val="baseline"/>
    </w:pPr>
    <w:rPr>
      <w:rFonts w:eastAsia="Times New Roman"/>
      <w:lang w:eastAsia="ja-JP"/>
    </w:rPr>
  </w:style>
  <w:style w:type="paragraph" w:customStyle="1" w:styleId="46">
    <w:name w:val="Normal with indent"/>
    <w:basedOn w:val="1"/>
    <w:link w:val="47"/>
    <w:qFormat/>
    <w:uiPriority w:val="0"/>
    <w:pPr>
      <w:spacing w:before="120" w:line="336" w:lineRule="auto"/>
      <w:ind w:firstLine="397"/>
    </w:pPr>
    <w:rPr>
      <w:rFonts w:eastAsia="Malgun Gothic"/>
      <w:szCs w:val="20"/>
      <w:lang w:val="en-GB" w:eastAsia="ko-KR"/>
    </w:rPr>
  </w:style>
  <w:style w:type="character" w:customStyle="1" w:styleId="47">
    <w:name w:val="Normal with indent Char"/>
    <w:link w:val="46"/>
    <w:qFormat/>
    <w:uiPriority w:val="0"/>
    <w:rPr>
      <w:rFonts w:ascii="Times New Roman" w:hAnsi="Times New Roman" w:eastAsia="Malgun Gothic"/>
      <w:lang w:val="en-GB" w:eastAsia="ko-KR"/>
    </w:rPr>
  </w:style>
  <w:style w:type="paragraph" w:customStyle="1" w:styleId="48">
    <w:name w:val="LGTdoc_제목1"/>
    <w:basedOn w:val="1"/>
    <w:qFormat/>
    <w:uiPriority w:val="0"/>
    <w:pPr>
      <w:adjustRightInd w:val="0"/>
      <w:snapToGrid w:val="0"/>
      <w:spacing w:beforeLines="50" w:after="100" w:afterAutospacing="1" w:line="240" w:lineRule="auto"/>
    </w:pPr>
    <w:rPr>
      <w:rFonts w:eastAsia="Batang"/>
      <w:b/>
      <w:snapToGrid w:val="0"/>
      <w:sz w:val="28"/>
      <w:szCs w:val="20"/>
      <w:lang w:val="en-GB" w:eastAsia="ko-KR"/>
    </w:rPr>
  </w:style>
  <w:style w:type="paragraph" w:customStyle="1" w:styleId="49">
    <w:name w:val="PaperTableCell"/>
    <w:basedOn w:val="1"/>
    <w:qFormat/>
    <w:uiPriority w:val="0"/>
    <w:pPr>
      <w:spacing w:line="240" w:lineRule="auto"/>
    </w:pPr>
    <w:rPr>
      <w:rFonts w:eastAsia="Times New Roman"/>
      <w:sz w:val="16"/>
      <w:szCs w:val="24"/>
      <w:lang w:eastAsia="en-US"/>
    </w:rPr>
  </w:style>
  <w:style w:type="character" w:customStyle="1" w:styleId="50">
    <w:name w:val="apple-style-span"/>
    <w:basedOn w:val="17"/>
    <w:qFormat/>
    <w:uiPriority w:val="0"/>
  </w:style>
  <w:style w:type="character" w:customStyle="1" w:styleId="51">
    <w:name w:val="apple-converted-space"/>
    <w:basedOn w:val="17"/>
    <w:qFormat/>
    <w:uiPriority w:val="0"/>
  </w:style>
  <w:style w:type="character" w:customStyle="1" w:styleId="52">
    <w:name w:val="high-light"/>
    <w:basedOn w:val="17"/>
    <w:qFormat/>
    <w:uiPriority w:val="0"/>
  </w:style>
  <w:style w:type="character" w:customStyle="1" w:styleId="53">
    <w:name w:val="Heading 2 Char"/>
    <w:basedOn w:val="17"/>
    <w:link w:val="3"/>
    <w:qFormat/>
    <w:uiPriority w:val="0"/>
    <w:rPr>
      <w:rFonts w:ascii="Times New Roman" w:hAnsi="Times New Roman"/>
      <w:i/>
      <w:iCs/>
      <w:lang w:eastAsia="en-US"/>
    </w:rPr>
  </w:style>
  <w:style w:type="character" w:customStyle="1" w:styleId="54">
    <w:name w:val="Heading 4 Char"/>
    <w:basedOn w:val="17"/>
    <w:link w:val="5"/>
    <w:qFormat/>
    <w:uiPriority w:val="0"/>
    <w:rPr>
      <w:rFonts w:ascii="Times New Roman" w:hAnsi="Times New Roman"/>
      <w:i/>
      <w:iCs/>
      <w:lang w:eastAsia="en-US"/>
    </w:rPr>
  </w:style>
  <w:style w:type="character" w:customStyle="1" w:styleId="55">
    <w:name w:val="Heading 5 Char"/>
    <w:basedOn w:val="17"/>
    <w:link w:val="6"/>
    <w:qFormat/>
    <w:uiPriority w:val="0"/>
    <w:rPr>
      <w:rFonts w:ascii="Times New Roman" w:hAnsi="Times New Roman"/>
      <w:smallCaps/>
      <w:lang w:eastAsia="en-US"/>
    </w:rPr>
  </w:style>
  <w:style w:type="paragraph" w:customStyle="1" w:styleId="56">
    <w:name w:val="Abstract"/>
    <w:link w:val="74"/>
    <w:qFormat/>
    <w:uiPriority w:val="0"/>
    <w:pPr>
      <w:spacing w:after="200"/>
      <w:jc w:val="both"/>
    </w:pPr>
    <w:rPr>
      <w:rFonts w:ascii="Times New Roman" w:hAnsi="Times New Roman" w:eastAsia="宋体" w:cs="Times New Roman"/>
      <w:b/>
      <w:bCs/>
      <w:sz w:val="18"/>
      <w:szCs w:val="18"/>
      <w:lang w:val="en-US" w:eastAsia="en-US" w:bidi="ar-SA"/>
    </w:rPr>
  </w:style>
  <w:style w:type="paragraph" w:customStyle="1" w:styleId="57">
    <w:name w:val="Affiliation"/>
    <w:qFormat/>
    <w:uiPriority w:val="99"/>
    <w:pPr>
      <w:jc w:val="center"/>
    </w:pPr>
    <w:rPr>
      <w:rFonts w:ascii="Times New Roman" w:hAnsi="Times New Roman" w:eastAsia="宋体" w:cs="Times New Roman"/>
      <w:lang w:val="en-US" w:eastAsia="en-US" w:bidi="ar-SA"/>
    </w:rPr>
  </w:style>
  <w:style w:type="paragraph" w:customStyle="1" w:styleId="58">
    <w:name w:val="Author"/>
    <w:qFormat/>
    <w:uiPriority w:val="99"/>
    <w:pPr>
      <w:spacing w:before="360" w:after="40"/>
      <w:jc w:val="center"/>
    </w:pPr>
    <w:rPr>
      <w:rFonts w:ascii="Times New Roman" w:hAnsi="Times New Roman" w:eastAsia="宋体" w:cs="Times New Roman"/>
      <w:sz w:val="22"/>
      <w:szCs w:val="22"/>
      <w:lang w:val="en-US" w:eastAsia="en-US" w:bidi="ar-SA"/>
    </w:rPr>
  </w:style>
  <w:style w:type="paragraph" w:customStyle="1" w:styleId="59">
    <w:name w:val="bullet list"/>
    <w:basedOn w:val="12"/>
    <w:qFormat/>
    <w:uiPriority w:val="0"/>
    <w:pPr>
      <w:widowControl/>
      <w:numPr>
        <w:ilvl w:val="0"/>
        <w:numId w:val="2"/>
      </w:numPr>
      <w:spacing w:after="120" w:line="228" w:lineRule="auto"/>
    </w:pPr>
    <w:rPr>
      <w:color w:val="auto"/>
      <w:spacing w:val="-1"/>
      <w:kern w:val="0"/>
      <w:sz w:val="20"/>
      <w:lang w:eastAsia="en-US"/>
    </w:rPr>
  </w:style>
  <w:style w:type="paragraph" w:customStyle="1" w:styleId="60">
    <w:name w:val="equation"/>
    <w:basedOn w:val="1"/>
    <w:qFormat/>
    <w:uiPriority w:val="0"/>
    <w:pPr>
      <w:tabs>
        <w:tab w:val="center" w:pos="2520"/>
        <w:tab w:val="right" w:pos="5040"/>
      </w:tabs>
      <w:spacing w:before="240" w:after="240" w:line="216" w:lineRule="auto"/>
      <w:jc w:val="center"/>
    </w:pPr>
    <w:rPr>
      <w:rFonts w:ascii="Symbol" w:hAnsi="Symbol" w:cs="Symbol"/>
      <w:szCs w:val="20"/>
      <w:lang w:eastAsia="en-US"/>
    </w:rPr>
  </w:style>
  <w:style w:type="paragraph" w:customStyle="1" w:styleId="61">
    <w:name w:val="figure caption"/>
    <w:qFormat/>
    <w:uiPriority w:val="0"/>
    <w:pPr>
      <w:numPr>
        <w:ilvl w:val="0"/>
        <w:numId w:val="3"/>
      </w:numPr>
      <w:spacing w:before="80" w:after="200"/>
      <w:jc w:val="center"/>
    </w:pPr>
    <w:rPr>
      <w:rFonts w:ascii="Times New Roman" w:hAnsi="Times New Roman" w:eastAsia="宋体" w:cs="Times New Roman"/>
      <w:sz w:val="16"/>
      <w:szCs w:val="16"/>
      <w:lang w:val="en-US" w:eastAsia="en-US" w:bidi="ar-SA"/>
    </w:rPr>
  </w:style>
  <w:style w:type="paragraph" w:customStyle="1" w:styleId="62">
    <w:name w:val="footnote"/>
    <w:qFormat/>
    <w:uiPriority w:val="99"/>
    <w:pPr>
      <w:framePr w:hSpace="187" w:vSpace="187" w:wrap="notBeside" w:vAnchor="text" w:hAnchor="page" w:x="6121" w:y="577"/>
      <w:numPr>
        <w:ilvl w:val="0"/>
        <w:numId w:val="4"/>
      </w:numPr>
      <w:spacing w:after="40"/>
    </w:pPr>
    <w:rPr>
      <w:rFonts w:ascii="Times New Roman" w:hAnsi="Times New Roman" w:eastAsia="宋体" w:cs="Times New Roman"/>
      <w:sz w:val="16"/>
      <w:szCs w:val="16"/>
      <w:lang w:val="en-US" w:eastAsia="en-US" w:bidi="ar-SA"/>
    </w:rPr>
  </w:style>
  <w:style w:type="paragraph" w:customStyle="1" w:styleId="63">
    <w:name w:val="key words"/>
    <w:qFormat/>
    <w:uiPriority w:val="0"/>
    <w:pPr>
      <w:spacing w:after="120"/>
      <w:ind w:firstLine="288"/>
      <w:jc w:val="both"/>
    </w:pPr>
    <w:rPr>
      <w:rFonts w:ascii="Times New Roman" w:hAnsi="Times New Roman" w:eastAsia="宋体" w:cs="Times New Roman"/>
      <w:b/>
      <w:bCs/>
      <w:i/>
      <w:iCs/>
      <w:sz w:val="18"/>
      <w:szCs w:val="18"/>
      <w:lang w:val="en-US" w:eastAsia="en-US" w:bidi="ar-SA"/>
    </w:rPr>
  </w:style>
  <w:style w:type="paragraph" w:customStyle="1" w:styleId="64">
    <w:name w:val="paper subtitle"/>
    <w:qFormat/>
    <w:uiPriority w:val="0"/>
    <w:pPr>
      <w:spacing w:after="120"/>
      <w:jc w:val="center"/>
    </w:pPr>
    <w:rPr>
      <w:rFonts w:ascii="Times New Roman" w:hAnsi="Times New Roman" w:eastAsia="MS Mincho" w:cs="Times New Roman"/>
      <w:sz w:val="28"/>
      <w:szCs w:val="28"/>
      <w:lang w:val="en-US" w:eastAsia="en-US" w:bidi="ar-SA"/>
    </w:rPr>
  </w:style>
  <w:style w:type="paragraph" w:customStyle="1" w:styleId="65">
    <w:name w:val="paper title"/>
    <w:qFormat/>
    <w:uiPriority w:val="0"/>
    <w:pPr>
      <w:spacing w:after="120"/>
      <w:jc w:val="center"/>
    </w:pPr>
    <w:rPr>
      <w:rFonts w:ascii="Times New Roman" w:hAnsi="Times New Roman" w:eastAsia="MS Mincho" w:cs="Times New Roman"/>
      <w:sz w:val="48"/>
      <w:szCs w:val="48"/>
      <w:lang w:val="en-US" w:eastAsia="en-US" w:bidi="ar-SA"/>
    </w:rPr>
  </w:style>
  <w:style w:type="paragraph" w:customStyle="1" w:styleId="66">
    <w:name w:val="references"/>
    <w:qFormat/>
    <w:uiPriority w:val="0"/>
    <w:pPr>
      <w:numPr>
        <w:ilvl w:val="0"/>
        <w:numId w:val="5"/>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67">
    <w:name w:val="sponsors"/>
    <w:qFormat/>
    <w:uiPriority w:val="0"/>
    <w:pPr>
      <w:framePr w:wrap="around" w:vAnchor="margin" w:hAnchor="text" w:x="615" w:y="2239"/>
      <w:pBdr>
        <w:top w:val="single" w:color="auto" w:sz="4" w:space="2"/>
      </w:pBdr>
      <w:ind w:firstLine="288"/>
    </w:pPr>
    <w:rPr>
      <w:rFonts w:ascii="Times New Roman" w:hAnsi="Times New Roman" w:eastAsia="宋体" w:cs="Times New Roman"/>
      <w:sz w:val="16"/>
      <w:szCs w:val="16"/>
      <w:lang w:val="en-US" w:eastAsia="en-US" w:bidi="ar-SA"/>
    </w:rPr>
  </w:style>
  <w:style w:type="paragraph" w:customStyle="1" w:styleId="68">
    <w:name w:val="table col head"/>
    <w:basedOn w:val="1"/>
    <w:qFormat/>
    <w:uiPriority w:val="0"/>
    <w:pPr>
      <w:spacing w:line="240" w:lineRule="auto"/>
      <w:jc w:val="center"/>
    </w:pPr>
    <w:rPr>
      <w:b/>
      <w:bCs/>
      <w:sz w:val="16"/>
      <w:szCs w:val="16"/>
      <w:lang w:eastAsia="en-US"/>
    </w:rPr>
  </w:style>
  <w:style w:type="paragraph" w:customStyle="1" w:styleId="69">
    <w:name w:val="table col subhead"/>
    <w:basedOn w:val="68"/>
    <w:qFormat/>
    <w:uiPriority w:val="0"/>
    <w:rPr>
      <w:i/>
      <w:iCs/>
      <w:sz w:val="15"/>
      <w:szCs w:val="15"/>
    </w:rPr>
  </w:style>
  <w:style w:type="paragraph" w:customStyle="1" w:styleId="70">
    <w:name w:val="table copy"/>
    <w:qFormat/>
    <w:uiPriority w:val="0"/>
    <w:pPr>
      <w:jc w:val="both"/>
    </w:pPr>
    <w:rPr>
      <w:rFonts w:ascii="Times New Roman" w:hAnsi="Times New Roman" w:eastAsia="宋体" w:cs="Times New Roman"/>
      <w:sz w:val="16"/>
      <w:szCs w:val="16"/>
      <w:lang w:val="en-US" w:eastAsia="en-US" w:bidi="ar-SA"/>
    </w:rPr>
  </w:style>
  <w:style w:type="paragraph" w:customStyle="1" w:styleId="71">
    <w:name w:val="table footnote"/>
    <w:qFormat/>
    <w:uiPriority w:val="0"/>
    <w:pPr>
      <w:spacing w:before="60" w:after="30"/>
      <w:jc w:val="right"/>
    </w:pPr>
    <w:rPr>
      <w:rFonts w:ascii="Times New Roman" w:hAnsi="Times New Roman" w:eastAsia="宋体" w:cs="Times New Roman"/>
      <w:sz w:val="12"/>
      <w:szCs w:val="12"/>
      <w:lang w:val="en-US" w:eastAsia="en-US" w:bidi="ar-SA"/>
    </w:rPr>
  </w:style>
  <w:style w:type="paragraph" w:customStyle="1" w:styleId="72">
    <w:name w:val="table head"/>
    <w:qFormat/>
    <w:uiPriority w:val="0"/>
    <w:pPr>
      <w:numPr>
        <w:ilvl w:val="0"/>
        <w:numId w:val="6"/>
      </w:numPr>
      <w:spacing w:before="240" w:after="120" w:line="216" w:lineRule="auto"/>
      <w:jc w:val="center"/>
    </w:pPr>
    <w:rPr>
      <w:rFonts w:ascii="Times New Roman" w:hAnsi="Times New Roman" w:eastAsia="宋体" w:cs="Times New Roman"/>
      <w:smallCaps/>
      <w:sz w:val="16"/>
      <w:szCs w:val="16"/>
      <w:lang w:val="en-US" w:eastAsia="en-US" w:bidi="ar-SA"/>
    </w:rPr>
  </w:style>
  <w:style w:type="paragraph" w:customStyle="1" w:styleId="73">
    <w:name w:val="Style Abstract + Italic"/>
    <w:basedOn w:val="56"/>
    <w:link w:val="75"/>
    <w:qFormat/>
    <w:uiPriority w:val="0"/>
    <w:rPr>
      <w:rFonts w:eastAsia="MS Mincho"/>
      <w:i/>
      <w:iCs/>
    </w:rPr>
  </w:style>
  <w:style w:type="character" w:customStyle="1" w:styleId="74">
    <w:name w:val="Abstract Char"/>
    <w:basedOn w:val="17"/>
    <w:link w:val="56"/>
    <w:qFormat/>
    <w:locked/>
    <w:uiPriority w:val="0"/>
    <w:rPr>
      <w:rFonts w:ascii="Times New Roman" w:hAnsi="Times New Roman"/>
      <w:b/>
      <w:bCs/>
      <w:sz w:val="18"/>
      <w:szCs w:val="18"/>
      <w:lang w:val="en-US" w:eastAsia="en-US" w:bidi="ar-SA"/>
    </w:rPr>
  </w:style>
  <w:style w:type="character" w:customStyle="1" w:styleId="75">
    <w:name w:val="Style Abstract + Italic Char"/>
    <w:basedOn w:val="74"/>
    <w:link w:val="73"/>
    <w:qFormat/>
    <w:locked/>
    <w:uiPriority w:val="0"/>
    <w:rPr>
      <w:rFonts w:ascii="Times New Roman" w:hAnsi="Times New Roman" w:eastAsia="MS Mincho"/>
      <w:i/>
      <w:iCs/>
      <w:sz w:val="18"/>
      <w:szCs w:val="18"/>
      <w:lang w:val="en-US" w:eastAsia="en-US" w:bidi="ar-SA"/>
    </w:rPr>
  </w:style>
  <w:style w:type="character" w:customStyle="1" w:styleId="76">
    <w:name w:val="Footer Char"/>
    <w:basedOn w:val="17"/>
    <w:link w:val="14"/>
    <w:qFormat/>
    <w:uiPriority w:val="0"/>
    <w:rPr>
      <w:sz w:val="18"/>
      <w:szCs w:val="18"/>
    </w:rPr>
  </w:style>
  <w:style w:type="character" w:customStyle="1" w:styleId="77">
    <w:name w:val="标题1"/>
    <w:basedOn w:val="17"/>
    <w:qFormat/>
    <w:uiPriority w:val="0"/>
  </w:style>
  <w:style w:type="paragraph" w:customStyle="1" w:styleId="78">
    <w:name w:val="MTDisplayEquation"/>
    <w:basedOn w:val="1"/>
    <w:next w:val="1"/>
    <w:link w:val="79"/>
    <w:qFormat/>
    <w:uiPriority w:val="0"/>
    <w:pPr>
      <w:tabs>
        <w:tab w:val="center" w:pos="4160"/>
        <w:tab w:val="right" w:pos="8300"/>
      </w:tabs>
      <w:spacing w:line="240" w:lineRule="auto"/>
    </w:pPr>
    <w:rPr>
      <w:sz w:val="24"/>
      <w:szCs w:val="24"/>
    </w:rPr>
  </w:style>
  <w:style w:type="character" w:customStyle="1" w:styleId="79">
    <w:name w:val="MTDisplayEquation Char"/>
    <w:basedOn w:val="17"/>
    <w:link w:val="78"/>
    <w:qFormat/>
    <w:uiPriority w:val="0"/>
    <w:rPr>
      <w:sz w:val="24"/>
      <w:szCs w:val="24"/>
    </w:rPr>
  </w:style>
  <w:style w:type="paragraph" w:customStyle="1" w:styleId="80">
    <w:name w:val="Char1 Char Char1 Char"/>
    <w:basedOn w:val="1"/>
    <w:qFormat/>
    <w:uiPriority w:val="0"/>
    <w:pPr>
      <w:tabs>
        <w:tab w:val="left" w:pos="540"/>
        <w:tab w:val="left" w:pos="1260"/>
        <w:tab w:val="left" w:pos="1800"/>
      </w:tabs>
      <w:spacing w:before="240" w:after="160" w:line="240" w:lineRule="exact"/>
    </w:pPr>
    <w:rPr>
      <w:rFonts w:ascii="Verdana" w:hAnsi="Verdana" w:eastAsia="Batang"/>
      <w:sz w:val="24"/>
      <w:szCs w:val="20"/>
      <w:lang w:eastAsia="en-US"/>
    </w:rPr>
  </w:style>
  <w:style w:type="character" w:customStyle="1" w:styleId="81">
    <w:name w:val="占位符文本1"/>
    <w:basedOn w:val="17"/>
    <w:semiHidden/>
    <w:qFormat/>
    <w:uiPriority w:val="99"/>
    <w:rPr>
      <w:color w:val="808080"/>
    </w:rPr>
  </w:style>
  <w:style w:type="paragraph" w:customStyle="1" w:styleId="82">
    <w:name w:val="Body"/>
    <w:basedOn w:val="1"/>
    <w:qFormat/>
    <w:uiPriority w:val="99"/>
    <w:pPr>
      <w:spacing w:after="200"/>
      <w:ind w:left="450"/>
    </w:pPr>
    <w:rPr>
      <w:rFonts w:asciiTheme="minorHAnsi" w:hAnsiTheme="minorHAnsi" w:eastAsiaTheme="minorEastAsia" w:cstheme="minorBidi"/>
      <w:sz w:val="22"/>
    </w:rPr>
  </w:style>
  <w:style w:type="character" w:customStyle="1" w:styleId="83">
    <w:name w:val="列出段落 Char"/>
    <w:link w:val="38"/>
    <w:qFormat/>
    <w:uiPriority w:val="34"/>
    <w:rPr>
      <w:rFonts w:ascii="Times New Roman" w:hAnsi="Times New Roman"/>
      <w:kern w:val="2"/>
      <w:sz w:val="21"/>
      <w:szCs w:val="22"/>
    </w:rPr>
  </w:style>
  <w:style w:type="character" w:customStyle="1" w:styleId="84">
    <w:name w:val="op_dict_text2"/>
    <w:basedOn w:val="17"/>
    <w:qFormat/>
    <w:uiPriority w:val="0"/>
  </w:style>
  <w:style w:type="paragraph" w:customStyle="1" w:styleId="85">
    <w:name w:val="List Paragraph2"/>
    <w:basedOn w:val="1"/>
    <w:qFormat/>
    <w:uiPriority w:val="99"/>
    <w:pPr>
      <w:widowControl w:val="0"/>
      <w:spacing w:line="240" w:lineRule="auto"/>
      <w:ind w:firstLine="420" w:firstLineChars="200"/>
    </w:pPr>
    <w:rPr>
      <w:kern w:val="2"/>
      <w:sz w:val="21"/>
    </w:rPr>
  </w:style>
  <w:style w:type="paragraph" w:customStyle="1" w:styleId="86">
    <w:name w:val="List Paragraph"/>
    <w:basedOn w:val="1"/>
    <w:qFormat/>
    <w:uiPriority w:val="99"/>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3.bin"/><Relationship Id="rId7" Type="http://schemas.openxmlformats.org/officeDocument/2006/relationships/image" Target="media/image2.emf"/><Relationship Id="rId6" Type="http://schemas.openxmlformats.org/officeDocument/2006/relationships/oleObject" Target="embeddings/oleObject2.bin"/><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4.wmf"/><Relationship Id="rId10" Type="http://schemas.openxmlformats.org/officeDocument/2006/relationships/oleObject" Target="embeddings/oleObject4.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ACCDEA-FA08-8541-9220-62C22CA51F5E}">
  <ds:schemaRefs/>
</ds:datastoreItem>
</file>

<file path=docProps/app.xml><?xml version="1.0" encoding="utf-8"?>
<Properties xmlns="http://schemas.openxmlformats.org/officeDocument/2006/extended-properties" xmlns:vt="http://schemas.openxmlformats.org/officeDocument/2006/docPropsVTypes">
  <Template>Normal.dotm</Template>
  <Company>MS</Company>
  <Pages>5</Pages>
  <Words>1833</Words>
  <Characters>10452</Characters>
  <Lines>87</Lines>
  <Paragraphs>24</Paragraphs>
  <ScaleCrop>false</ScaleCrop>
  <LinksUpToDate>false</LinksUpToDate>
  <CharactersWithSpaces>12261</CharactersWithSpaces>
  <Application>WPS Office_10.8.0.5918_F1E327BC-269C-435d-A152-05C5408002CA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2017-10-03T02:15:00Z</dcterms:created>
  <dc:creator>ZTE</dc:creator>
  <cp:lastModifiedBy>Hao Wu</cp:lastModifiedBy>
  <cp:lastPrinted>2016-08-08T07:57:00Z</cp:lastPrinted>
  <dcterms:modified xsi:type="dcterms:W3CDTF">2017-11-18T03:27:30Z</dcterms:modified>
  <dc:title>3GPP TSG-RAN WG1 #70</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2052-10.8.0.5918</vt:lpwstr>
  </property>
</Properties>
</file>